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bookmarkStart w:id="0" w:name="_GoBack"/>
      <w:r w:rsidRPr="00B17C9B">
        <w:rPr>
          <w:rFonts w:ascii="Segoe UI" w:eastAsia="Times New Roman" w:hAnsi="Segoe UI" w:cs="Segoe UI"/>
          <w:b/>
          <w:bCs/>
          <w:color w:val="000000"/>
          <w:sz w:val="21"/>
          <w:szCs w:val="21"/>
          <w:lang w:eastAsia="ru-RU"/>
        </w:rPr>
        <w:t xml:space="preserve">Аналіз регуляторного впливу </w:t>
      </w:r>
      <w:proofErr w:type="gramStart"/>
      <w:r w:rsidRPr="00B17C9B">
        <w:rPr>
          <w:rFonts w:ascii="Segoe UI" w:eastAsia="Times New Roman" w:hAnsi="Segoe UI" w:cs="Segoe UI"/>
          <w:b/>
          <w:bCs/>
          <w:color w:val="000000"/>
          <w:sz w:val="21"/>
          <w:szCs w:val="21"/>
          <w:lang w:eastAsia="ru-RU"/>
        </w:rPr>
        <w:t>до проекту</w:t>
      </w:r>
      <w:proofErr w:type="gramEnd"/>
      <w:r w:rsidRPr="00B17C9B">
        <w:rPr>
          <w:rFonts w:ascii="Segoe UI" w:eastAsia="Times New Roman" w:hAnsi="Segoe UI" w:cs="Segoe UI"/>
          <w:b/>
          <w:bCs/>
          <w:color w:val="000000"/>
          <w:sz w:val="21"/>
          <w:szCs w:val="21"/>
          <w:lang w:eastAsia="ru-RU"/>
        </w:rPr>
        <w:t xml:space="preserve"> розпорядження голови Дніпропетровської обласної державної адміністрації</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“Про затвердження Порядку видачі дозволів на розміщення зовнішньої реклами поза межами населених пунктів Дніпропетровської області”</w:t>
      </w:r>
    </w:p>
    <w:bookmarkEnd w:id="0"/>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1. Визначення та аналіз проблеми</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 xml:space="preserve">Статтею 16 Закону України “Про рекламу” передбачається, що розміщення зовнішньої реклами поза межами населених пунктів проводиться на підставі дозволів, що надаються обласними державними адміністраціями, а на території Автономної Республіки Крим - Радою міністрів Автономної Республіки Крим, </w:t>
      </w:r>
      <w:proofErr w:type="gramStart"/>
      <w:r w:rsidRPr="00B17C9B">
        <w:rPr>
          <w:rFonts w:ascii="Segoe UI" w:eastAsia="Times New Roman" w:hAnsi="Segoe UI" w:cs="Segoe UI"/>
          <w:color w:val="000000"/>
          <w:sz w:val="21"/>
          <w:szCs w:val="21"/>
          <w:lang w:eastAsia="ru-RU"/>
        </w:rPr>
        <w:t>в порядку</w:t>
      </w:r>
      <w:proofErr w:type="gramEnd"/>
      <w:r w:rsidRPr="00B17C9B">
        <w:rPr>
          <w:rFonts w:ascii="Segoe UI" w:eastAsia="Times New Roman" w:hAnsi="Segoe UI" w:cs="Segoe UI"/>
          <w:color w:val="000000"/>
          <w:sz w:val="21"/>
          <w:szCs w:val="21"/>
          <w:lang w:eastAsia="ru-RU"/>
        </w:rPr>
        <w:t>, встановленому цим органом на підставі типових правил, що затверджуються Кабінетом Міністрів України.</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Так, відповідно до Постанови Кабінету Міністрів України від 05.12.2012 № 1135 “Про затвердження Типових правил розміщення зовнішньої реклами поза межами населених пунктів” передбачено, що видача дозволів на розміщення зовнішньої реклами поза межами населених пунктів здійснюється обласними державними адміністраціями.</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Тобто обласним держаним адміністраціям необхідно врегулювати питання видачі дозволів на розміщення зовнішньої реклами поза межами населених пунктів шляхом запровадження єдиного порядку.</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Отже дана проблема не може бути вирішена за допомогою ринкових механізмів та потребує державного регулювання, що надасть можливість розповсюджувачам реклами на законних підставах розміщувати рекламні засоби поза межами населених пунктів Дніпропетровської області.</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Державне регулювання пропонується здійснити шляхом запровадження цього регуляторного акта, яким передбачається затвердження Порядку видачі дозволів на розміщення зовнішньої реклами поза межами населених пунктів Дніпропетровської області.</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Дія цього регуляторного акта поширюватиметься на всій території Дніпропетровської області, що знаходиться поза межами населених пунктів, а його вимоги будуть обов’язкові для виконання всіма суб’єктами господарювання, що здійснюють розміщення зовнішньої реклами поза межами населених пунктів Дніпропетровської області.</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Основні групи (підгрупи), на які проблема справляє вплив:</w:t>
      </w:r>
    </w:p>
    <w:tbl>
      <w:tblPr>
        <w:tblW w:w="0" w:type="auto"/>
        <w:shd w:val="clear" w:color="auto" w:fill="FFFFFF"/>
        <w:tblCellMar>
          <w:left w:w="0" w:type="dxa"/>
          <w:right w:w="0" w:type="dxa"/>
        </w:tblCellMar>
        <w:tblLook w:val="04A0" w:firstRow="1" w:lastRow="0" w:firstColumn="1" w:lastColumn="0" w:noHBand="0" w:noVBand="1"/>
      </w:tblPr>
      <w:tblGrid>
        <w:gridCol w:w="4230"/>
        <w:gridCol w:w="2718"/>
        <w:gridCol w:w="2391"/>
      </w:tblGrid>
      <w:tr w:rsidR="00B17C9B" w:rsidRPr="00B17C9B" w:rsidTr="00B17C9B">
        <w:tc>
          <w:tcPr>
            <w:tcW w:w="427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Групи (підгрупи)</w:t>
            </w:r>
          </w:p>
        </w:tc>
        <w:tc>
          <w:tcPr>
            <w:tcW w:w="27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Так</w:t>
            </w:r>
          </w:p>
        </w:tc>
        <w:tc>
          <w:tcPr>
            <w:tcW w:w="243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Ні</w:t>
            </w:r>
          </w:p>
        </w:tc>
      </w:tr>
      <w:tr w:rsidR="00B17C9B" w:rsidRPr="00B17C9B" w:rsidTr="00B17C9B">
        <w:tc>
          <w:tcPr>
            <w:tcW w:w="427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Громадяни</w:t>
            </w:r>
          </w:p>
        </w:tc>
        <w:tc>
          <w:tcPr>
            <w:tcW w:w="276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w:t>
            </w:r>
          </w:p>
        </w:tc>
        <w:tc>
          <w:tcPr>
            <w:tcW w:w="24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427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Держава</w:t>
            </w:r>
          </w:p>
        </w:tc>
        <w:tc>
          <w:tcPr>
            <w:tcW w:w="276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w:t>
            </w:r>
          </w:p>
        </w:tc>
        <w:tc>
          <w:tcPr>
            <w:tcW w:w="24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427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Суб’єкти господарювання, у тому числі суб’єкти малого підприємництва</w:t>
            </w:r>
          </w:p>
        </w:tc>
        <w:tc>
          <w:tcPr>
            <w:tcW w:w="276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w:t>
            </w:r>
          </w:p>
        </w:tc>
        <w:tc>
          <w:tcPr>
            <w:tcW w:w="24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2. Цілі державного регулювання</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Основною ціллю розробки регуляторного акта є врегулювання взаємовідносин, що виникають між обласною державною адміністрацією та розповсюджувачами зовнішньої реклами, які передбачають її розміщення поза межами населених пунктів відповідно до вимог чинного законодавства.</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3. Визначення та оцінка альтернативних способів досягнення встановлених цілей</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В якості альтернативи для досягнення встановлених цілей пропонується два способи:</w:t>
      </w:r>
    </w:p>
    <w:tbl>
      <w:tblPr>
        <w:tblW w:w="0" w:type="auto"/>
        <w:shd w:val="clear" w:color="auto" w:fill="FFFFFF"/>
        <w:tblCellMar>
          <w:left w:w="0" w:type="dxa"/>
          <w:right w:w="0" w:type="dxa"/>
        </w:tblCellMar>
        <w:tblLook w:val="04A0" w:firstRow="1" w:lastRow="0" w:firstColumn="1" w:lastColumn="0" w:noHBand="0" w:noVBand="1"/>
      </w:tblPr>
      <w:tblGrid>
        <w:gridCol w:w="2665"/>
        <w:gridCol w:w="6674"/>
      </w:tblGrid>
      <w:tr w:rsidR="00B17C9B" w:rsidRPr="00B17C9B" w:rsidTr="00B17C9B">
        <w:tc>
          <w:tcPr>
            <w:tcW w:w="270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Вид альтернативи</w:t>
            </w:r>
          </w:p>
        </w:tc>
        <w:tc>
          <w:tcPr>
            <w:tcW w:w="68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Опис альтернативи</w:t>
            </w:r>
          </w:p>
        </w:tc>
      </w:tr>
      <w:tr w:rsidR="00B17C9B" w:rsidRPr="00B17C9B" w:rsidTr="00B17C9B">
        <w:tc>
          <w:tcPr>
            <w:tcW w:w="270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1</w:t>
            </w:r>
          </w:p>
        </w:tc>
        <w:tc>
          <w:tcPr>
            <w:tcW w:w="68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Відмовитись від державного регулювання</w:t>
            </w:r>
          </w:p>
        </w:tc>
      </w:tr>
      <w:tr w:rsidR="00B17C9B" w:rsidRPr="00B17C9B" w:rsidTr="00B17C9B">
        <w:tc>
          <w:tcPr>
            <w:tcW w:w="270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2</w:t>
            </w:r>
          </w:p>
        </w:tc>
        <w:tc>
          <w:tcPr>
            <w:tcW w:w="68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Прийняття регуляторного акта, що надасть можливість запровадити єдиний Порядок видачі дозволів на розміщення зовнішньої реклами поза межами населених пунктів Дніпропетровської області, який забезпечить досягнення визначених цілей державного регулювання</w:t>
            </w:r>
          </w:p>
        </w:tc>
      </w:tr>
    </w:tbl>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u w:val="single"/>
          <w:lang w:eastAsia="ru-RU"/>
        </w:rPr>
        <w:t>Оцінка впливу на сферу інтересів держави</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918"/>
        <w:gridCol w:w="4601"/>
        <w:gridCol w:w="2820"/>
      </w:tblGrid>
      <w:tr w:rsidR="00B17C9B" w:rsidRPr="00B17C9B" w:rsidTr="00B17C9B">
        <w:tc>
          <w:tcPr>
            <w:tcW w:w="19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Вид альтернативи</w:t>
            </w:r>
          </w:p>
        </w:tc>
        <w:tc>
          <w:tcPr>
            <w:tcW w:w="475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Вигоди</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Витрати</w:t>
            </w:r>
          </w:p>
        </w:tc>
      </w:tr>
      <w:tr w:rsidR="00B17C9B" w:rsidRPr="00B17C9B" w:rsidTr="00B17C9B">
        <w:tc>
          <w:tcPr>
            <w:tcW w:w="19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1</w:t>
            </w:r>
          </w:p>
        </w:tc>
        <w:tc>
          <w:tcPr>
            <w:tcW w:w="475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Відсутні</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Порушення вимог                        Закону України “Про рекламу”</w:t>
            </w:r>
          </w:p>
        </w:tc>
      </w:tr>
      <w:tr w:rsidR="00B17C9B" w:rsidRPr="00B17C9B" w:rsidTr="00B17C9B">
        <w:tc>
          <w:tcPr>
            <w:tcW w:w="19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2</w:t>
            </w:r>
          </w:p>
        </w:tc>
        <w:tc>
          <w:tcPr>
            <w:tcW w:w="475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Впровадження чіткого механізму з видачі дозволів, врегулювання взаємодії Дніпропетровської  обласної державної адміністрації з суб’єктами господарювання та іншими органами при видачі дозволів;</w:t>
            </w:r>
            <w:r w:rsidRPr="00B17C9B">
              <w:rPr>
                <w:rFonts w:ascii="Segoe UI" w:eastAsia="Times New Roman" w:hAnsi="Segoe UI" w:cs="Segoe UI"/>
                <w:color w:val="000000"/>
                <w:sz w:val="21"/>
                <w:szCs w:val="21"/>
                <w:lang w:eastAsia="ru-RU"/>
              </w:rPr>
              <w:br/>
              <w:t>Впорядкування місць та встановлення постійного контролю щодо розміщення зовнішньої реклами поза межами населених пунктів;</w:t>
            </w:r>
            <w:r w:rsidRPr="00B17C9B">
              <w:rPr>
                <w:rFonts w:ascii="Segoe UI" w:eastAsia="Times New Roman" w:hAnsi="Segoe UI" w:cs="Segoe UI"/>
                <w:color w:val="000000"/>
                <w:sz w:val="21"/>
                <w:szCs w:val="21"/>
                <w:lang w:eastAsia="ru-RU"/>
              </w:rPr>
              <w:br/>
              <w:t>Виконання вимог законодавства.</w:t>
            </w:r>
          </w:p>
        </w:tc>
        <w:tc>
          <w:tcPr>
            <w:tcW w:w="28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381753,05 грн </w:t>
            </w:r>
            <w:r w:rsidRPr="00B17C9B">
              <w:rPr>
                <w:rFonts w:ascii="Segoe UI" w:eastAsia="Times New Roman" w:hAnsi="Segoe UI" w:cs="Segoe UI"/>
                <w:i/>
                <w:iCs/>
                <w:color w:val="000000"/>
                <w:sz w:val="21"/>
                <w:szCs w:val="21"/>
                <w:lang w:eastAsia="ru-RU"/>
              </w:rPr>
              <w:t>/1 рік </w:t>
            </w:r>
            <w:r w:rsidRPr="00B17C9B">
              <w:rPr>
                <w:rFonts w:ascii="Segoe UI" w:eastAsia="Times New Roman" w:hAnsi="Segoe UI" w:cs="Segoe UI"/>
                <w:color w:val="000000"/>
                <w:sz w:val="21"/>
                <w:szCs w:val="21"/>
                <w:lang w:eastAsia="ru-RU"/>
              </w:rPr>
              <w:t>381753,05 грн/5 років</w:t>
            </w:r>
            <w:r w:rsidRPr="00B17C9B">
              <w:rPr>
                <w:rFonts w:ascii="Segoe UI" w:eastAsia="Times New Roman" w:hAnsi="Segoe UI" w:cs="Segoe UI"/>
                <w:color w:val="000000"/>
                <w:sz w:val="21"/>
                <w:szCs w:val="21"/>
                <w:lang w:eastAsia="ru-RU"/>
              </w:rPr>
              <w:br/>
              <w:t>(облік суб’єктів господарювання, що перебувають у сфері регулювання.)</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u w:val="single"/>
          <w:lang w:eastAsia="ru-RU"/>
        </w:rPr>
        <w:t> </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u w:val="single"/>
          <w:lang w:eastAsia="ru-RU"/>
        </w:rPr>
        <w:t>Оцінка впливу на сферу інтересів громадян</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964"/>
        <w:gridCol w:w="4471"/>
        <w:gridCol w:w="2904"/>
      </w:tblGrid>
      <w:tr w:rsidR="00B17C9B" w:rsidRPr="00B17C9B" w:rsidTr="00B17C9B">
        <w:tc>
          <w:tcPr>
            <w:tcW w:w="196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Вид альтернативи</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Вигоди</w:t>
            </w:r>
          </w:p>
        </w:tc>
        <w:tc>
          <w:tcPr>
            <w:tcW w:w="29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Витрати</w:t>
            </w:r>
          </w:p>
        </w:tc>
      </w:tr>
      <w:tr w:rsidR="00B17C9B" w:rsidRPr="00B17C9B" w:rsidTr="00B17C9B">
        <w:tc>
          <w:tcPr>
            <w:tcW w:w="196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1</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Відсутні</w:t>
            </w:r>
          </w:p>
        </w:tc>
        <w:tc>
          <w:tcPr>
            <w:tcW w:w="29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Відсутні</w:t>
            </w:r>
          </w:p>
        </w:tc>
      </w:tr>
      <w:tr w:rsidR="00B17C9B" w:rsidRPr="00B17C9B" w:rsidTr="00B17C9B">
        <w:tc>
          <w:tcPr>
            <w:tcW w:w="196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2</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Отримання інформаційних послуг від реклами;</w:t>
            </w:r>
            <w:r w:rsidRPr="00B17C9B">
              <w:rPr>
                <w:rFonts w:ascii="Segoe UI" w:eastAsia="Times New Roman" w:hAnsi="Segoe UI" w:cs="Segoe UI"/>
                <w:color w:val="000000"/>
                <w:sz w:val="21"/>
                <w:szCs w:val="21"/>
                <w:lang w:eastAsia="ru-RU"/>
              </w:rPr>
              <w:br/>
              <w:t>Врахування вимог безпеки дорожнього руху при розміщенні зовнішньої реклами поза межами населених пунктів.</w:t>
            </w:r>
          </w:p>
        </w:tc>
        <w:tc>
          <w:tcPr>
            <w:tcW w:w="29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Відсутність інформації про товари і послуги.</w:t>
            </w:r>
          </w:p>
        </w:tc>
      </w:tr>
    </w:tbl>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u w:val="single"/>
          <w:lang w:eastAsia="ru-RU"/>
        </w:rPr>
        <w:t>Оцінка впливу на сферу інтересів суб’єктів господарювання</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3071"/>
        <w:gridCol w:w="1255"/>
        <w:gridCol w:w="1259"/>
        <w:gridCol w:w="1248"/>
        <w:gridCol w:w="1123"/>
        <w:gridCol w:w="1383"/>
      </w:tblGrid>
      <w:tr w:rsidR="00B17C9B" w:rsidRPr="00B17C9B" w:rsidTr="00B17C9B">
        <w:tc>
          <w:tcPr>
            <w:tcW w:w="312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Показник</w:t>
            </w:r>
          </w:p>
        </w:tc>
        <w:tc>
          <w:tcPr>
            <w:tcW w:w="127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Великі</w:t>
            </w:r>
          </w:p>
        </w:tc>
        <w:tc>
          <w:tcPr>
            <w:tcW w:w="127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Середні</w:t>
            </w:r>
          </w:p>
        </w:tc>
        <w:tc>
          <w:tcPr>
            <w:tcW w:w="127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Малі</w:t>
            </w:r>
          </w:p>
        </w:tc>
        <w:tc>
          <w:tcPr>
            <w:tcW w:w="114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Мікро</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Разом</w:t>
            </w:r>
          </w:p>
        </w:tc>
      </w:tr>
      <w:tr w:rsidR="00B17C9B" w:rsidRPr="00B17C9B" w:rsidTr="00B17C9B">
        <w:tc>
          <w:tcPr>
            <w:tcW w:w="31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Кількість суб’єктів господарювання, що підпадають під дію регулювання, одиниць</w:t>
            </w:r>
          </w:p>
        </w:tc>
        <w:tc>
          <w:tcPr>
            <w:tcW w:w="127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27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27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3614</w:t>
            </w:r>
          </w:p>
        </w:tc>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22989</w:t>
            </w:r>
          </w:p>
        </w:tc>
        <w:tc>
          <w:tcPr>
            <w:tcW w:w="14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26603</w:t>
            </w:r>
          </w:p>
        </w:tc>
      </w:tr>
      <w:tr w:rsidR="00B17C9B" w:rsidRPr="00B17C9B" w:rsidTr="00B17C9B">
        <w:tc>
          <w:tcPr>
            <w:tcW w:w="31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Питома вага групи у загальній кількості, відсотків</w:t>
            </w:r>
          </w:p>
        </w:tc>
        <w:tc>
          <w:tcPr>
            <w:tcW w:w="127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27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27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13,6</w:t>
            </w:r>
          </w:p>
        </w:tc>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86,4</w:t>
            </w:r>
          </w:p>
        </w:tc>
        <w:tc>
          <w:tcPr>
            <w:tcW w:w="14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Х</w:t>
            </w:r>
          </w:p>
        </w:tc>
      </w:tr>
      <w:tr w:rsidR="00B17C9B" w:rsidRPr="00B17C9B" w:rsidTr="00B17C9B">
        <w:tc>
          <w:tcPr>
            <w:tcW w:w="9495" w:type="dxa"/>
            <w:gridSpan w:val="6"/>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Відповідно до даних Головного управління статистики у Дніпропетровській області (лист від 30.10.2018 № 10-25/2597)</w:t>
            </w:r>
          </w:p>
        </w:tc>
      </w:tr>
    </w:tbl>
    <w:p w:rsidR="00B17C9B" w:rsidRPr="00B17C9B" w:rsidRDefault="00B17C9B" w:rsidP="00B17C9B">
      <w:pPr>
        <w:spacing w:after="0" w:line="240" w:lineRule="auto"/>
        <w:rPr>
          <w:rFonts w:ascii="Times New Roman" w:eastAsia="Times New Roman" w:hAnsi="Times New Roman" w:cs="Times New Roman"/>
          <w:vanish/>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106"/>
        <w:gridCol w:w="3352"/>
        <w:gridCol w:w="3881"/>
      </w:tblGrid>
      <w:tr w:rsidR="00B17C9B" w:rsidRPr="00B17C9B" w:rsidTr="00B17C9B">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Вид альтернативи</w:t>
            </w:r>
          </w:p>
        </w:tc>
        <w:tc>
          <w:tcPr>
            <w:tcW w:w="340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Вигоди</w:t>
            </w:r>
          </w:p>
        </w:tc>
        <w:tc>
          <w:tcPr>
            <w:tcW w:w="396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Витрати</w:t>
            </w:r>
          </w:p>
        </w:tc>
      </w:tr>
      <w:tr w:rsidR="00B17C9B" w:rsidRPr="00B17C9B" w:rsidTr="00B17C9B">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1</w:t>
            </w:r>
          </w:p>
        </w:tc>
        <w:tc>
          <w:tcPr>
            <w:tcW w:w="340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Відсутні</w:t>
            </w:r>
          </w:p>
        </w:tc>
        <w:tc>
          <w:tcPr>
            <w:tcW w:w="39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Негативний вплив на діяльність суб’єктів господарювання (не буде можливості розміщувати зовнішню рекламу поза межами населених пунктів, що погіршиться на фінансовій діяльності)</w:t>
            </w:r>
          </w:p>
        </w:tc>
      </w:tr>
      <w:tr w:rsidR="00B17C9B" w:rsidRPr="00B17C9B" w:rsidTr="00B17C9B">
        <w:tc>
          <w:tcPr>
            <w:tcW w:w="21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2</w:t>
            </w:r>
          </w:p>
        </w:tc>
        <w:tc>
          <w:tcPr>
            <w:tcW w:w="340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Можливість розміщення зовнішньої реклами поза межами населених пунктів;</w:t>
            </w:r>
            <w:r w:rsidRPr="00B17C9B">
              <w:rPr>
                <w:rFonts w:ascii="Segoe UI" w:eastAsia="Times New Roman" w:hAnsi="Segoe UI" w:cs="Segoe UI"/>
                <w:color w:val="000000"/>
                <w:sz w:val="21"/>
                <w:szCs w:val="21"/>
                <w:lang w:eastAsia="ru-RU"/>
              </w:rPr>
              <w:br/>
              <w:t>отримання чіткого та прозорого механізму, а саме, єдиного Порядку видачі дозволів на розміщення зовнішньої реклами поза межами населених пунктів Дніпропетровської області.</w:t>
            </w:r>
          </w:p>
        </w:tc>
        <w:tc>
          <w:tcPr>
            <w:tcW w:w="39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1779740,7 грн/І рік,</w:t>
            </w:r>
            <w:r w:rsidRPr="00B17C9B">
              <w:rPr>
                <w:rFonts w:ascii="Segoe UI" w:eastAsia="Times New Roman" w:hAnsi="Segoe UI" w:cs="Segoe UI"/>
                <w:color w:val="000000"/>
                <w:sz w:val="21"/>
                <w:szCs w:val="21"/>
                <w:lang w:eastAsia="ru-RU"/>
              </w:rPr>
              <w:br/>
              <w:t>1779740,7 грн/5 років</w:t>
            </w:r>
            <w:r w:rsidRPr="00B17C9B">
              <w:rPr>
                <w:rFonts w:ascii="Segoe UI" w:eastAsia="Times New Roman" w:hAnsi="Segoe UI" w:cs="Segoe UI"/>
                <w:color w:val="000000"/>
                <w:sz w:val="21"/>
                <w:szCs w:val="21"/>
                <w:lang w:eastAsia="ru-RU"/>
              </w:rPr>
              <w:br/>
              <w:t>(процедури отримання інформації про вимоги регулювання та організація їх виконання)</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Перша альтернатива не є прийнятною, оскільки це не надасть можливість суб’єктам господарювання у сфері реклами отримати на законних підставах дозвіл на розміщення зовнішньої реклами поза межами населених пунктів.</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Застосування другої альтернативи надасть можливість врегулювати відносини, які виникають у зв’язку з розміщенням зовнішньої реклами поза межами населених пунктів Дніпропетровської області, практичної реалізації положень статті 16 Закону України “Про рекламу”.</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Затвердження порядку розміщення зовнішньої реклами поза межами населених пунктів Дніпропетровської області матиме вплив на продуктивність суб’єктів господарювання, які надають рекламні послуги.</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4. Вибір найбільш оптимального альтернативного способу досягнення цілей</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9495" w:type="dxa"/>
        <w:shd w:val="clear" w:color="auto" w:fill="FFFFFF"/>
        <w:tblCellMar>
          <w:left w:w="0" w:type="dxa"/>
          <w:right w:w="0" w:type="dxa"/>
        </w:tblCellMar>
        <w:tblLook w:val="04A0" w:firstRow="1" w:lastRow="0" w:firstColumn="1" w:lastColumn="0" w:noHBand="0" w:noVBand="1"/>
      </w:tblPr>
      <w:tblGrid>
        <w:gridCol w:w="2580"/>
        <w:gridCol w:w="2520"/>
        <w:gridCol w:w="4395"/>
      </w:tblGrid>
      <w:tr w:rsidR="00B17C9B" w:rsidRPr="00B17C9B" w:rsidTr="00B17C9B">
        <w:tc>
          <w:tcPr>
            <w:tcW w:w="25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Рейтинг результативності (досягнення цілей під час вирішення проблеми)</w:t>
            </w:r>
          </w:p>
        </w:tc>
        <w:tc>
          <w:tcPr>
            <w:tcW w:w="25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Бал результативності (за чотирибальною системою оцінки)</w:t>
            </w:r>
          </w:p>
        </w:tc>
        <w:tc>
          <w:tcPr>
            <w:tcW w:w="439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Коментарі щодо присвоєння відповідного бала</w:t>
            </w:r>
          </w:p>
        </w:tc>
      </w:tr>
      <w:tr w:rsidR="00B17C9B" w:rsidRPr="00B17C9B" w:rsidTr="00B17C9B">
        <w:tc>
          <w:tcPr>
            <w:tcW w:w="25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1</w:t>
            </w:r>
          </w:p>
        </w:tc>
        <w:tc>
          <w:tcPr>
            <w:tcW w:w="25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w:t>
            </w:r>
          </w:p>
        </w:tc>
        <w:tc>
          <w:tcPr>
            <w:tcW w:w="439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Відсутність порядку, що буде регулювати відносини, які виникають у зв’язку з розміщенням зовнішньої реклами поза межами населених пунктів  Дніпропетровської області</w:t>
            </w:r>
          </w:p>
        </w:tc>
      </w:tr>
      <w:tr w:rsidR="00B17C9B" w:rsidRPr="00B17C9B" w:rsidTr="00B17C9B">
        <w:tc>
          <w:tcPr>
            <w:tcW w:w="25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2</w:t>
            </w:r>
          </w:p>
        </w:tc>
        <w:tc>
          <w:tcPr>
            <w:tcW w:w="252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4</w:t>
            </w:r>
          </w:p>
        </w:tc>
        <w:tc>
          <w:tcPr>
            <w:tcW w:w="439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Встановлення чіткої та прозорої процедури розміщення зовнішньої реклами поза межами населених пунктів Дніпропетровської  області</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2257"/>
        <w:gridCol w:w="2574"/>
        <w:gridCol w:w="2498"/>
        <w:gridCol w:w="2010"/>
      </w:tblGrid>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Рейтинг результативності</w:t>
            </w:r>
          </w:p>
        </w:tc>
        <w:tc>
          <w:tcPr>
            <w:tcW w:w="26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Вигоди (підсумок)</w:t>
            </w:r>
          </w:p>
        </w:tc>
        <w:tc>
          <w:tcPr>
            <w:tcW w:w="259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Витрати (підсумок)</w:t>
            </w:r>
          </w:p>
        </w:tc>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 xml:space="preserve">Обґрунтування відповідного місця </w:t>
            </w:r>
            <w:r w:rsidRPr="00B17C9B">
              <w:rPr>
                <w:rFonts w:ascii="Segoe UI" w:eastAsia="Times New Roman" w:hAnsi="Segoe UI" w:cs="Segoe UI"/>
                <w:color w:val="000000"/>
                <w:sz w:val="21"/>
                <w:szCs w:val="21"/>
                <w:lang w:eastAsia="ru-RU"/>
              </w:rPr>
              <w:lastRenderedPageBreak/>
              <w:t>альтернативи у рейтингу</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Альтернатива 1</w:t>
            </w:r>
          </w:p>
        </w:tc>
        <w:tc>
          <w:tcPr>
            <w:tcW w:w="26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Відсутні.</w:t>
            </w:r>
          </w:p>
        </w:tc>
        <w:tc>
          <w:tcPr>
            <w:tcW w:w="259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Проблема продовжує існувати</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2</w:t>
            </w:r>
          </w:p>
        </w:tc>
        <w:tc>
          <w:tcPr>
            <w:tcW w:w="26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Впровадження</w:t>
            </w:r>
            <w:r w:rsidRPr="00B17C9B">
              <w:rPr>
                <w:rFonts w:ascii="Segoe UI" w:eastAsia="Times New Roman" w:hAnsi="Segoe UI" w:cs="Segoe UI"/>
                <w:color w:val="000000"/>
                <w:sz w:val="21"/>
                <w:szCs w:val="21"/>
                <w:lang w:eastAsia="ru-RU"/>
              </w:rPr>
              <w:br/>
              <w:t>чіткого механізму з</w:t>
            </w:r>
            <w:r w:rsidRPr="00B17C9B">
              <w:rPr>
                <w:rFonts w:ascii="Segoe UI" w:eastAsia="Times New Roman" w:hAnsi="Segoe UI" w:cs="Segoe UI"/>
                <w:color w:val="000000"/>
                <w:sz w:val="21"/>
                <w:szCs w:val="21"/>
                <w:lang w:eastAsia="ru-RU"/>
              </w:rPr>
              <w:br/>
              <w:t>видачі дозволів та</w:t>
            </w:r>
            <w:r w:rsidRPr="00B17C9B">
              <w:rPr>
                <w:rFonts w:ascii="Segoe UI" w:eastAsia="Times New Roman" w:hAnsi="Segoe UI" w:cs="Segoe UI"/>
                <w:color w:val="000000"/>
                <w:sz w:val="21"/>
                <w:szCs w:val="21"/>
                <w:lang w:eastAsia="ru-RU"/>
              </w:rPr>
              <w:br/>
              <w:t>врегулювання</w:t>
            </w:r>
            <w:r w:rsidRPr="00B17C9B">
              <w:rPr>
                <w:rFonts w:ascii="Segoe UI" w:eastAsia="Times New Roman" w:hAnsi="Segoe UI" w:cs="Segoe UI"/>
                <w:color w:val="000000"/>
                <w:sz w:val="21"/>
                <w:szCs w:val="21"/>
                <w:lang w:eastAsia="ru-RU"/>
              </w:rPr>
              <w:br/>
              <w:t>взаємодії</w:t>
            </w:r>
            <w:r w:rsidRPr="00B17C9B">
              <w:rPr>
                <w:rFonts w:ascii="Segoe UI" w:eastAsia="Times New Roman" w:hAnsi="Segoe UI" w:cs="Segoe UI"/>
                <w:color w:val="000000"/>
                <w:sz w:val="21"/>
                <w:szCs w:val="21"/>
                <w:lang w:eastAsia="ru-RU"/>
              </w:rPr>
              <w:br/>
              <w:t>Дніпропетровської</w:t>
            </w:r>
            <w:r w:rsidRPr="00B17C9B">
              <w:rPr>
                <w:rFonts w:ascii="Segoe UI" w:eastAsia="Times New Roman" w:hAnsi="Segoe UI" w:cs="Segoe UI"/>
                <w:color w:val="000000"/>
                <w:sz w:val="21"/>
                <w:szCs w:val="21"/>
                <w:lang w:eastAsia="ru-RU"/>
              </w:rPr>
              <w:br/>
              <w:t>обласної державної</w:t>
            </w:r>
            <w:r w:rsidRPr="00B17C9B">
              <w:rPr>
                <w:rFonts w:ascii="Segoe UI" w:eastAsia="Times New Roman" w:hAnsi="Segoe UI" w:cs="Segoe UI"/>
                <w:color w:val="000000"/>
                <w:sz w:val="21"/>
                <w:szCs w:val="21"/>
                <w:lang w:eastAsia="ru-RU"/>
              </w:rPr>
              <w:br/>
              <w:t>адміністрації з</w:t>
            </w:r>
            <w:r w:rsidRPr="00B17C9B">
              <w:rPr>
                <w:rFonts w:ascii="Segoe UI" w:eastAsia="Times New Roman" w:hAnsi="Segoe UI" w:cs="Segoe UI"/>
                <w:color w:val="000000"/>
                <w:sz w:val="21"/>
                <w:szCs w:val="21"/>
                <w:lang w:eastAsia="ru-RU"/>
              </w:rPr>
              <w:br/>
              <w:t>суб’єктами</w:t>
            </w:r>
            <w:r w:rsidRPr="00B17C9B">
              <w:rPr>
                <w:rFonts w:ascii="Segoe UI" w:eastAsia="Times New Roman" w:hAnsi="Segoe UI" w:cs="Segoe UI"/>
                <w:color w:val="000000"/>
                <w:sz w:val="21"/>
                <w:szCs w:val="21"/>
                <w:lang w:eastAsia="ru-RU"/>
              </w:rPr>
              <w:br/>
              <w:t>господарювання та</w:t>
            </w:r>
            <w:r w:rsidRPr="00B17C9B">
              <w:rPr>
                <w:rFonts w:ascii="Segoe UI" w:eastAsia="Times New Roman" w:hAnsi="Segoe UI" w:cs="Segoe UI"/>
                <w:color w:val="000000"/>
                <w:sz w:val="21"/>
                <w:szCs w:val="21"/>
                <w:lang w:eastAsia="ru-RU"/>
              </w:rPr>
              <w:br/>
              <w:t>іншими органами</w:t>
            </w:r>
            <w:r w:rsidRPr="00B17C9B">
              <w:rPr>
                <w:rFonts w:ascii="Segoe UI" w:eastAsia="Times New Roman" w:hAnsi="Segoe UI" w:cs="Segoe UI"/>
                <w:color w:val="000000"/>
                <w:sz w:val="21"/>
                <w:szCs w:val="21"/>
                <w:lang w:eastAsia="ru-RU"/>
              </w:rPr>
              <w:br/>
              <w:t>при видачі дозволів;</w:t>
            </w:r>
            <w:r w:rsidRPr="00B17C9B">
              <w:rPr>
                <w:rFonts w:ascii="Segoe UI" w:eastAsia="Times New Roman" w:hAnsi="Segoe UI" w:cs="Segoe UI"/>
                <w:color w:val="000000"/>
                <w:sz w:val="21"/>
                <w:szCs w:val="21"/>
                <w:lang w:eastAsia="ru-RU"/>
              </w:rPr>
              <w:br/>
              <w:t>Можливість</w:t>
            </w:r>
            <w:r w:rsidRPr="00B17C9B">
              <w:rPr>
                <w:rFonts w:ascii="Segoe UI" w:eastAsia="Times New Roman" w:hAnsi="Segoe UI" w:cs="Segoe UI"/>
                <w:color w:val="000000"/>
                <w:sz w:val="21"/>
                <w:szCs w:val="21"/>
                <w:lang w:eastAsia="ru-RU"/>
              </w:rPr>
              <w:br/>
              <w:t>розміщення</w:t>
            </w:r>
            <w:r w:rsidRPr="00B17C9B">
              <w:rPr>
                <w:rFonts w:ascii="Segoe UI" w:eastAsia="Times New Roman" w:hAnsi="Segoe UI" w:cs="Segoe UI"/>
                <w:color w:val="000000"/>
                <w:sz w:val="21"/>
                <w:szCs w:val="21"/>
                <w:lang w:eastAsia="ru-RU"/>
              </w:rPr>
              <w:br/>
              <w:t>зовнішньої реклами</w:t>
            </w:r>
            <w:r w:rsidRPr="00B17C9B">
              <w:rPr>
                <w:rFonts w:ascii="Segoe UI" w:eastAsia="Times New Roman" w:hAnsi="Segoe UI" w:cs="Segoe UI"/>
                <w:color w:val="000000"/>
                <w:sz w:val="21"/>
                <w:szCs w:val="21"/>
                <w:lang w:eastAsia="ru-RU"/>
              </w:rPr>
              <w:br/>
              <w:t>поза межами</w:t>
            </w:r>
            <w:r w:rsidRPr="00B17C9B">
              <w:rPr>
                <w:rFonts w:ascii="Segoe UI" w:eastAsia="Times New Roman" w:hAnsi="Segoe UI" w:cs="Segoe UI"/>
                <w:color w:val="000000"/>
                <w:sz w:val="21"/>
                <w:szCs w:val="21"/>
                <w:lang w:eastAsia="ru-RU"/>
              </w:rPr>
              <w:br/>
              <w:t>населених пунктів;</w:t>
            </w:r>
            <w:r w:rsidRPr="00B17C9B">
              <w:rPr>
                <w:rFonts w:ascii="Segoe UI" w:eastAsia="Times New Roman" w:hAnsi="Segoe UI" w:cs="Segoe UI"/>
                <w:color w:val="000000"/>
                <w:sz w:val="21"/>
                <w:szCs w:val="21"/>
                <w:lang w:eastAsia="ru-RU"/>
              </w:rPr>
              <w:br/>
              <w:t>Виконання вимог</w:t>
            </w:r>
            <w:r w:rsidRPr="00B17C9B">
              <w:rPr>
                <w:rFonts w:ascii="Segoe UI" w:eastAsia="Times New Roman" w:hAnsi="Segoe UI" w:cs="Segoe UI"/>
                <w:color w:val="000000"/>
                <w:sz w:val="21"/>
                <w:szCs w:val="21"/>
                <w:lang w:eastAsia="ru-RU"/>
              </w:rPr>
              <w:br/>
              <w:t>законодавства;</w:t>
            </w:r>
            <w:r w:rsidRPr="00B17C9B">
              <w:rPr>
                <w:rFonts w:ascii="Segoe UI" w:eastAsia="Times New Roman" w:hAnsi="Segoe UI" w:cs="Segoe UI"/>
                <w:color w:val="000000"/>
                <w:sz w:val="21"/>
                <w:szCs w:val="21"/>
                <w:lang w:eastAsia="ru-RU"/>
              </w:rPr>
              <w:br/>
              <w:t>Отримання</w:t>
            </w:r>
            <w:r w:rsidRPr="00B17C9B">
              <w:rPr>
                <w:rFonts w:ascii="Segoe UI" w:eastAsia="Times New Roman" w:hAnsi="Segoe UI" w:cs="Segoe UI"/>
                <w:color w:val="000000"/>
                <w:sz w:val="21"/>
                <w:szCs w:val="21"/>
                <w:lang w:eastAsia="ru-RU"/>
              </w:rPr>
              <w:br/>
              <w:t>інформаційних</w:t>
            </w:r>
            <w:r w:rsidRPr="00B17C9B">
              <w:rPr>
                <w:rFonts w:ascii="Segoe UI" w:eastAsia="Times New Roman" w:hAnsi="Segoe UI" w:cs="Segoe UI"/>
                <w:color w:val="000000"/>
                <w:sz w:val="21"/>
                <w:szCs w:val="21"/>
                <w:lang w:eastAsia="ru-RU"/>
              </w:rPr>
              <w:br/>
              <w:t>послуг від реклами;</w:t>
            </w:r>
            <w:r w:rsidRPr="00B17C9B">
              <w:rPr>
                <w:rFonts w:ascii="Segoe UI" w:eastAsia="Times New Roman" w:hAnsi="Segoe UI" w:cs="Segoe UI"/>
                <w:color w:val="000000"/>
                <w:sz w:val="21"/>
                <w:szCs w:val="21"/>
                <w:lang w:eastAsia="ru-RU"/>
              </w:rPr>
              <w:br/>
              <w:t>Врахування вимог</w:t>
            </w:r>
            <w:r w:rsidRPr="00B17C9B">
              <w:rPr>
                <w:rFonts w:ascii="Segoe UI" w:eastAsia="Times New Roman" w:hAnsi="Segoe UI" w:cs="Segoe UI"/>
                <w:color w:val="000000"/>
                <w:sz w:val="21"/>
                <w:szCs w:val="21"/>
                <w:lang w:eastAsia="ru-RU"/>
              </w:rPr>
              <w:br/>
              <w:t>безпеки дорожнього</w:t>
            </w:r>
            <w:r w:rsidRPr="00B17C9B">
              <w:rPr>
                <w:rFonts w:ascii="Segoe UI" w:eastAsia="Times New Roman" w:hAnsi="Segoe UI" w:cs="Segoe UI"/>
                <w:color w:val="000000"/>
                <w:sz w:val="21"/>
                <w:szCs w:val="21"/>
                <w:lang w:eastAsia="ru-RU"/>
              </w:rPr>
              <w:br/>
              <w:t>руху при розміщенні</w:t>
            </w:r>
            <w:r w:rsidRPr="00B17C9B">
              <w:rPr>
                <w:rFonts w:ascii="Segoe UI" w:eastAsia="Times New Roman" w:hAnsi="Segoe UI" w:cs="Segoe UI"/>
                <w:color w:val="000000"/>
                <w:sz w:val="21"/>
                <w:szCs w:val="21"/>
                <w:lang w:eastAsia="ru-RU"/>
              </w:rPr>
              <w:br/>
              <w:t>зовнішньої реклами</w:t>
            </w:r>
            <w:r w:rsidRPr="00B17C9B">
              <w:rPr>
                <w:rFonts w:ascii="Segoe UI" w:eastAsia="Times New Roman" w:hAnsi="Segoe UI" w:cs="Segoe UI"/>
                <w:color w:val="000000"/>
                <w:sz w:val="21"/>
                <w:szCs w:val="21"/>
                <w:lang w:eastAsia="ru-RU"/>
              </w:rPr>
              <w:br/>
              <w:t>поза межами</w:t>
            </w:r>
            <w:r w:rsidRPr="00B17C9B">
              <w:rPr>
                <w:rFonts w:ascii="Segoe UI" w:eastAsia="Times New Roman" w:hAnsi="Segoe UI" w:cs="Segoe UI"/>
                <w:color w:val="000000"/>
                <w:sz w:val="21"/>
                <w:szCs w:val="21"/>
                <w:lang w:eastAsia="ru-RU"/>
              </w:rPr>
              <w:br/>
              <w:t>населених пунктів</w:t>
            </w:r>
          </w:p>
        </w:tc>
        <w:tc>
          <w:tcPr>
            <w:tcW w:w="259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2161493,75 грн       /1 рік</w:t>
            </w:r>
            <w:r w:rsidRPr="00B17C9B">
              <w:rPr>
                <w:rFonts w:ascii="Segoe UI" w:eastAsia="Times New Roman" w:hAnsi="Segoe UI" w:cs="Segoe UI"/>
                <w:color w:val="000000"/>
                <w:sz w:val="21"/>
                <w:szCs w:val="21"/>
                <w:lang w:eastAsia="ru-RU"/>
              </w:rPr>
              <w:br/>
              <w:t>Проблема вирішена</w:t>
            </w:r>
            <w:r w:rsidRPr="00B17C9B">
              <w:rPr>
                <w:rFonts w:ascii="Segoe UI" w:eastAsia="Times New Roman" w:hAnsi="Segoe UI" w:cs="Segoe UI"/>
                <w:color w:val="000000"/>
                <w:sz w:val="21"/>
                <w:szCs w:val="21"/>
                <w:lang w:eastAsia="ru-RU"/>
              </w:rPr>
              <w:br/>
              <w:t> (381753,05 грн –витрати</w:t>
            </w:r>
            <w:r w:rsidRPr="00B17C9B">
              <w:rPr>
                <w:rFonts w:ascii="Segoe UI" w:eastAsia="Times New Roman" w:hAnsi="Segoe UI" w:cs="Segoe UI"/>
                <w:color w:val="000000"/>
                <w:sz w:val="21"/>
                <w:szCs w:val="21"/>
                <w:lang w:eastAsia="ru-RU"/>
              </w:rPr>
              <w:br/>
              <w:t>держави на</w:t>
            </w:r>
            <w:r w:rsidRPr="00B17C9B">
              <w:rPr>
                <w:rFonts w:ascii="Segoe UI" w:eastAsia="Times New Roman" w:hAnsi="Segoe UI" w:cs="Segoe UI"/>
                <w:color w:val="000000"/>
                <w:sz w:val="21"/>
                <w:szCs w:val="21"/>
                <w:lang w:eastAsia="ru-RU"/>
              </w:rPr>
              <w:br/>
              <w:t>виконання</w:t>
            </w:r>
            <w:r w:rsidRPr="00B17C9B">
              <w:rPr>
                <w:rFonts w:ascii="Segoe UI" w:eastAsia="Times New Roman" w:hAnsi="Segoe UI" w:cs="Segoe UI"/>
                <w:color w:val="000000"/>
                <w:sz w:val="21"/>
                <w:szCs w:val="21"/>
                <w:lang w:eastAsia="ru-RU"/>
              </w:rPr>
              <w:br/>
              <w:t>вимог</w:t>
            </w:r>
            <w:r w:rsidRPr="00B17C9B">
              <w:rPr>
                <w:rFonts w:ascii="Segoe UI" w:eastAsia="Times New Roman" w:hAnsi="Segoe UI" w:cs="Segoe UI"/>
                <w:color w:val="000000"/>
                <w:sz w:val="21"/>
                <w:szCs w:val="21"/>
                <w:lang w:eastAsia="ru-RU"/>
              </w:rPr>
              <w:br/>
              <w:t>регулювання;</w:t>
            </w:r>
            <w:r w:rsidRPr="00B17C9B">
              <w:rPr>
                <w:rFonts w:ascii="Segoe UI" w:eastAsia="Times New Roman" w:hAnsi="Segoe UI" w:cs="Segoe UI"/>
                <w:color w:val="000000"/>
                <w:sz w:val="21"/>
                <w:szCs w:val="21"/>
                <w:lang w:eastAsia="ru-RU"/>
              </w:rPr>
              <w:br/>
              <w:t>1779740,70 грн -</w:t>
            </w:r>
            <w:r w:rsidRPr="00B17C9B">
              <w:rPr>
                <w:rFonts w:ascii="Segoe UI" w:eastAsia="Times New Roman" w:hAnsi="Segoe UI" w:cs="Segoe UI"/>
                <w:color w:val="000000"/>
                <w:sz w:val="21"/>
                <w:szCs w:val="21"/>
                <w:lang w:eastAsia="ru-RU"/>
              </w:rPr>
              <w:br/>
              <w:t>витрати</w:t>
            </w:r>
            <w:r w:rsidRPr="00B17C9B">
              <w:rPr>
                <w:rFonts w:ascii="Segoe UI" w:eastAsia="Times New Roman" w:hAnsi="Segoe UI" w:cs="Segoe UI"/>
                <w:color w:val="000000"/>
                <w:sz w:val="21"/>
                <w:szCs w:val="21"/>
                <w:lang w:eastAsia="ru-RU"/>
              </w:rPr>
              <w:br/>
              <w:t>суб’єктів</w:t>
            </w:r>
            <w:r w:rsidRPr="00B17C9B">
              <w:rPr>
                <w:rFonts w:ascii="Segoe UI" w:eastAsia="Times New Roman" w:hAnsi="Segoe UI" w:cs="Segoe UI"/>
                <w:color w:val="000000"/>
                <w:sz w:val="21"/>
                <w:szCs w:val="21"/>
                <w:lang w:eastAsia="ru-RU"/>
              </w:rPr>
              <w:br/>
              <w:t>господарювання</w:t>
            </w:r>
            <w:r w:rsidRPr="00B17C9B">
              <w:rPr>
                <w:rFonts w:ascii="Segoe UI" w:eastAsia="Times New Roman" w:hAnsi="Segoe UI" w:cs="Segoe UI"/>
                <w:color w:val="000000"/>
                <w:sz w:val="21"/>
                <w:szCs w:val="21"/>
                <w:lang w:eastAsia="ru-RU"/>
              </w:rPr>
              <w:br/>
              <w:t>на виконання</w:t>
            </w:r>
            <w:r w:rsidRPr="00B17C9B">
              <w:rPr>
                <w:rFonts w:ascii="Segoe UI" w:eastAsia="Times New Roman" w:hAnsi="Segoe UI" w:cs="Segoe UI"/>
                <w:color w:val="000000"/>
                <w:sz w:val="21"/>
                <w:szCs w:val="21"/>
                <w:lang w:eastAsia="ru-RU"/>
              </w:rPr>
              <w:br/>
              <w:t>вимог</w:t>
            </w:r>
            <w:r w:rsidRPr="00B17C9B">
              <w:rPr>
                <w:rFonts w:ascii="Segoe UI" w:eastAsia="Times New Roman" w:hAnsi="Segoe UI" w:cs="Segoe UI"/>
                <w:color w:val="000000"/>
                <w:sz w:val="21"/>
                <w:szCs w:val="21"/>
                <w:lang w:eastAsia="ru-RU"/>
              </w:rPr>
              <w:br/>
              <w:t>регулювання)</w:t>
            </w:r>
            <w:r w:rsidRPr="00B17C9B">
              <w:rPr>
                <w:rFonts w:ascii="Segoe UI" w:eastAsia="Times New Roman" w:hAnsi="Segoe UI" w:cs="Segoe UI"/>
                <w:color w:val="000000"/>
                <w:sz w:val="21"/>
                <w:szCs w:val="21"/>
                <w:lang w:eastAsia="ru-RU"/>
              </w:rPr>
              <w:br/>
              <w:t>2161493,75 грн</w:t>
            </w:r>
            <w:r w:rsidRPr="00B17C9B">
              <w:rPr>
                <w:rFonts w:ascii="Segoe UI" w:eastAsia="Times New Roman" w:hAnsi="Segoe UI" w:cs="Segoe UI"/>
                <w:color w:val="000000"/>
                <w:sz w:val="21"/>
                <w:szCs w:val="21"/>
                <w:lang w:eastAsia="ru-RU"/>
              </w:rPr>
              <w:br/>
              <w:t>/1 рік</w:t>
            </w:r>
            <w:r w:rsidRPr="00B17C9B">
              <w:rPr>
                <w:rFonts w:ascii="Segoe UI" w:eastAsia="Times New Roman" w:hAnsi="Segoe UI" w:cs="Segoe UI"/>
                <w:color w:val="000000"/>
                <w:sz w:val="21"/>
                <w:szCs w:val="21"/>
                <w:lang w:eastAsia="ru-RU"/>
              </w:rPr>
              <w:br/>
              <w:t>(381753,05 грн-</w:t>
            </w:r>
            <w:r w:rsidRPr="00B17C9B">
              <w:rPr>
                <w:rFonts w:ascii="Segoe UI" w:eastAsia="Times New Roman" w:hAnsi="Segoe UI" w:cs="Segoe UI"/>
                <w:color w:val="000000"/>
                <w:sz w:val="21"/>
                <w:szCs w:val="21"/>
                <w:lang w:eastAsia="ru-RU"/>
              </w:rPr>
              <w:br/>
              <w:t>витрати</w:t>
            </w:r>
            <w:r w:rsidRPr="00B17C9B">
              <w:rPr>
                <w:rFonts w:ascii="Segoe UI" w:eastAsia="Times New Roman" w:hAnsi="Segoe UI" w:cs="Segoe UI"/>
                <w:color w:val="000000"/>
                <w:sz w:val="21"/>
                <w:szCs w:val="21"/>
                <w:lang w:eastAsia="ru-RU"/>
              </w:rPr>
              <w:br/>
              <w:t>держави на</w:t>
            </w:r>
            <w:r w:rsidRPr="00B17C9B">
              <w:rPr>
                <w:rFonts w:ascii="Segoe UI" w:eastAsia="Times New Roman" w:hAnsi="Segoe UI" w:cs="Segoe UI"/>
                <w:color w:val="000000"/>
                <w:sz w:val="21"/>
                <w:szCs w:val="21"/>
                <w:lang w:eastAsia="ru-RU"/>
              </w:rPr>
              <w:br/>
              <w:t>виконання</w:t>
            </w:r>
            <w:r w:rsidRPr="00B17C9B">
              <w:rPr>
                <w:rFonts w:ascii="Segoe UI" w:eastAsia="Times New Roman" w:hAnsi="Segoe UI" w:cs="Segoe UI"/>
                <w:color w:val="000000"/>
                <w:sz w:val="21"/>
                <w:szCs w:val="21"/>
                <w:lang w:eastAsia="ru-RU"/>
              </w:rPr>
              <w:br/>
              <w:t>вимог</w:t>
            </w:r>
            <w:r w:rsidRPr="00B17C9B">
              <w:rPr>
                <w:rFonts w:ascii="Segoe UI" w:eastAsia="Times New Roman" w:hAnsi="Segoe UI" w:cs="Segoe UI"/>
                <w:color w:val="000000"/>
                <w:sz w:val="21"/>
                <w:szCs w:val="21"/>
                <w:lang w:eastAsia="ru-RU"/>
              </w:rPr>
              <w:br/>
              <w:t>регулювання;</w:t>
            </w:r>
            <w:r w:rsidRPr="00B17C9B">
              <w:rPr>
                <w:rFonts w:ascii="Segoe UI" w:eastAsia="Times New Roman" w:hAnsi="Segoe UI" w:cs="Segoe UI"/>
                <w:color w:val="000000"/>
                <w:sz w:val="21"/>
                <w:szCs w:val="21"/>
                <w:lang w:eastAsia="ru-RU"/>
              </w:rPr>
              <w:br/>
              <w:t>1 779 740,70-</w:t>
            </w:r>
            <w:r w:rsidRPr="00B17C9B">
              <w:rPr>
                <w:rFonts w:ascii="Segoe UI" w:eastAsia="Times New Roman" w:hAnsi="Segoe UI" w:cs="Segoe UI"/>
                <w:color w:val="000000"/>
                <w:sz w:val="21"/>
                <w:szCs w:val="21"/>
                <w:lang w:eastAsia="ru-RU"/>
              </w:rPr>
              <w:br/>
              <w:t>витрати</w:t>
            </w:r>
            <w:r w:rsidRPr="00B17C9B">
              <w:rPr>
                <w:rFonts w:ascii="Segoe UI" w:eastAsia="Times New Roman" w:hAnsi="Segoe UI" w:cs="Segoe UI"/>
                <w:color w:val="000000"/>
                <w:sz w:val="21"/>
                <w:szCs w:val="21"/>
                <w:lang w:eastAsia="ru-RU"/>
              </w:rPr>
              <w:br/>
              <w:t>суб’єктів</w:t>
            </w:r>
            <w:r w:rsidRPr="00B17C9B">
              <w:rPr>
                <w:rFonts w:ascii="Segoe UI" w:eastAsia="Times New Roman" w:hAnsi="Segoe UI" w:cs="Segoe UI"/>
                <w:color w:val="000000"/>
                <w:sz w:val="21"/>
                <w:szCs w:val="21"/>
                <w:lang w:eastAsia="ru-RU"/>
              </w:rPr>
              <w:br/>
              <w:t>господарювання</w:t>
            </w:r>
            <w:r w:rsidRPr="00B17C9B">
              <w:rPr>
                <w:rFonts w:ascii="Segoe UI" w:eastAsia="Times New Roman" w:hAnsi="Segoe UI" w:cs="Segoe UI"/>
                <w:color w:val="000000"/>
                <w:sz w:val="21"/>
                <w:szCs w:val="21"/>
                <w:lang w:eastAsia="ru-RU"/>
              </w:rPr>
              <w:br/>
              <w:t>на виконання</w:t>
            </w:r>
            <w:r w:rsidRPr="00B17C9B">
              <w:rPr>
                <w:rFonts w:ascii="Segoe UI" w:eastAsia="Times New Roman" w:hAnsi="Segoe UI" w:cs="Segoe UI"/>
                <w:color w:val="000000"/>
                <w:sz w:val="21"/>
                <w:szCs w:val="21"/>
                <w:lang w:eastAsia="ru-RU"/>
              </w:rPr>
              <w:br/>
              <w:t>вимог</w:t>
            </w:r>
            <w:r w:rsidRPr="00B17C9B">
              <w:rPr>
                <w:rFonts w:ascii="Segoe UI" w:eastAsia="Times New Roman" w:hAnsi="Segoe UI" w:cs="Segoe UI"/>
                <w:color w:val="000000"/>
                <w:sz w:val="21"/>
                <w:szCs w:val="21"/>
                <w:lang w:eastAsia="ru-RU"/>
              </w:rPr>
              <w:br/>
              <w:t>регулювання)</w:t>
            </w:r>
          </w:p>
        </w:tc>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Проблема вирішена</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Рейтинг</w:t>
            </w:r>
          </w:p>
        </w:tc>
        <w:tc>
          <w:tcPr>
            <w:tcW w:w="26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Аргументи щодо переваги обраної</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альтернативи/причини відмови від</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альтернативи</w:t>
            </w:r>
          </w:p>
        </w:tc>
        <w:tc>
          <w:tcPr>
            <w:tcW w:w="259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Оцінка ризику зовнішніх чинників на дію запронованого регуляторного акта</w:t>
            </w:r>
          </w:p>
        </w:tc>
        <w:tc>
          <w:tcPr>
            <w:tcW w:w="207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9645" w:type="dxa"/>
        <w:shd w:val="clear" w:color="auto" w:fill="FFFFFF"/>
        <w:tblCellMar>
          <w:left w:w="0" w:type="dxa"/>
          <w:right w:w="0" w:type="dxa"/>
        </w:tblCellMar>
        <w:tblLook w:val="04A0" w:firstRow="1" w:lastRow="0" w:firstColumn="1" w:lastColumn="0" w:noHBand="0" w:noVBand="1"/>
      </w:tblPr>
      <w:tblGrid>
        <w:gridCol w:w="2439"/>
        <w:gridCol w:w="3525"/>
        <w:gridCol w:w="3681"/>
      </w:tblGrid>
      <w:tr w:rsidR="00B17C9B" w:rsidRPr="00B17C9B" w:rsidTr="00B17C9B">
        <w:tc>
          <w:tcPr>
            <w:tcW w:w="25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Альтернатива 1</w:t>
            </w:r>
          </w:p>
        </w:tc>
        <w:tc>
          <w:tcPr>
            <w:tcW w:w="327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Перша альтернатива не є прийнятною, оскільки це не надасть можливість суб’єктам господарювання у сфері рекламних послуг отримати на законних підставах дозвіл на розміщення зовнішньої реклами поза межами населених пунктів.</w:t>
            </w:r>
          </w:p>
        </w:tc>
        <w:tc>
          <w:tcPr>
            <w:tcW w:w="384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r>
      <w:tr w:rsidR="00B17C9B" w:rsidRPr="00B17C9B" w:rsidTr="00B17C9B">
        <w:tc>
          <w:tcPr>
            <w:tcW w:w="25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Альтернатива 2</w:t>
            </w:r>
          </w:p>
        </w:tc>
        <w:tc>
          <w:tcPr>
            <w:tcW w:w="327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Забезпечення прозорої процедури розміщення зовнішньої реклами поза межами населених пунктів  Дніпропетровської  області, що в свою чергу надасть можливість забезпечення розвитку ринку рекламних послуг</w:t>
            </w:r>
          </w:p>
        </w:tc>
        <w:tc>
          <w:tcPr>
            <w:tcW w:w="384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Головними зовнішніми чинниками, які впливатимуть на дію регуляторного акта, можуть бути зміни в законодавчій базі з питань діяльності розповсюджувачів реклами, вимог до розміщення рекламних засобів, інших нормативно- правових актів у сфері надання рекламних послуг. На виконання вимог акта впливатимуть і економічні чинники, зокрема, інфляційні процеси, надмірне зростання цін, зміни в оподаткуванні тощо, що можуть зменшити кількість отриманих дозволів на розміщення зовнішньої реклами.</w:t>
            </w:r>
            <w:r w:rsidRPr="00B17C9B">
              <w:rPr>
                <w:rFonts w:ascii="Segoe UI" w:eastAsia="Times New Roman" w:hAnsi="Segoe UI" w:cs="Segoe UI"/>
                <w:color w:val="000000"/>
                <w:sz w:val="21"/>
                <w:szCs w:val="21"/>
                <w:lang w:eastAsia="ru-RU"/>
              </w:rPr>
              <w:br/>
              <w:t>Разом з тим, суб’єкти</w:t>
            </w:r>
            <w:r w:rsidRPr="00B17C9B">
              <w:rPr>
                <w:rFonts w:ascii="Segoe UI" w:eastAsia="Times New Roman" w:hAnsi="Segoe UI" w:cs="Segoe UI"/>
                <w:color w:val="000000"/>
                <w:sz w:val="21"/>
                <w:szCs w:val="21"/>
                <w:lang w:eastAsia="ru-RU"/>
              </w:rPr>
              <w:br/>
              <w:t>господарювання- розповсюджувачі реклами можливі збитки від впливу зовнішніх факторів зможуть</w:t>
            </w:r>
            <w:r w:rsidRPr="00B17C9B">
              <w:rPr>
                <w:rFonts w:ascii="Segoe UI" w:eastAsia="Times New Roman" w:hAnsi="Segoe UI" w:cs="Segoe UI"/>
                <w:color w:val="000000"/>
                <w:sz w:val="21"/>
                <w:szCs w:val="21"/>
                <w:lang w:eastAsia="ru-RU"/>
              </w:rPr>
              <w:br/>
              <w:t>компенсувати за рахунок прибутку від здійснення їх підприємницької діяльності з надання рекламних послуг.</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bookmarkStart w:id="1" w:name="bookmark18"/>
      <w:r w:rsidRPr="00B17C9B">
        <w:rPr>
          <w:rFonts w:ascii="Segoe UI" w:eastAsia="Times New Roman" w:hAnsi="Segoe UI" w:cs="Segoe UI"/>
          <w:b/>
          <w:bCs/>
          <w:color w:val="0181B9"/>
          <w:sz w:val="21"/>
          <w:szCs w:val="21"/>
          <w:lang w:eastAsia="ru-RU"/>
        </w:rPr>
        <w:t>Механізми т</w:t>
      </w:r>
      <w:bookmarkEnd w:id="1"/>
      <w:r w:rsidRPr="00B17C9B">
        <w:rPr>
          <w:rFonts w:ascii="Segoe UI" w:eastAsia="Times New Roman" w:hAnsi="Segoe UI" w:cs="Segoe UI"/>
          <w:b/>
          <w:bCs/>
          <w:color w:val="000000"/>
          <w:sz w:val="21"/>
          <w:szCs w:val="21"/>
          <w:lang w:eastAsia="ru-RU"/>
        </w:rPr>
        <w:t>а заходи, які забезпечать розв’язання визначеної проблеми</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Механізм, закладений в основу проекту регуляторного акта, передбачає затвердження та виконання всіма суб'єктами господарювання Порядку видачі дозволів на розміщення зовнішньої реклами поза межами населених пунктів Дніпропетровської області.</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Прийняття даного розпорядження надасть можливість Дніпропетровській обласній державній адміністрації видавати дозволи на розміщення зовнішньої реклами поза межами населених пунктів, що в свою чергу сприятиме розвитку здорової конкуренції у сфері рекламних послуг на території області.</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При цьому Дніпропетровська обласна державна адміністрація здійснюватиме моніторинг за розміщенням зовнішньої реклами поза межами населених пунктів, а у випадках не виконання розповсюджувачами реклами вимог цього регуляторного акта вживатиме заходи, спрямовані на демонтаж самовільно встановлених рекламних засобів.</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Реалізація даного механізму та заходів вирішить проблему, яку передбачається розв’язати шляхом державного регулювання, та забезпечить високий ступінь ефективності досягнення цілей визначених при розробці регуляторного акта.</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bookmarkStart w:id="2" w:name="bookmark19"/>
      <w:r w:rsidRPr="00B17C9B">
        <w:rPr>
          <w:rFonts w:ascii="Segoe UI" w:eastAsia="Times New Roman" w:hAnsi="Segoe UI" w:cs="Segoe UI"/>
          <w:b/>
          <w:bCs/>
          <w:color w:val="0181B9"/>
          <w:sz w:val="21"/>
          <w:szCs w:val="21"/>
          <w:lang w:eastAsia="ru-RU"/>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bookmarkEnd w:id="2"/>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Органи виконавчої влади та суб’єкти господарювання будуть нести витрати на виконання вимог регуляторного акта.</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Тест малого підприємництва додається.</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bookmarkStart w:id="3" w:name="bookmark20"/>
      <w:r w:rsidRPr="00B17C9B">
        <w:rPr>
          <w:rFonts w:ascii="Segoe UI" w:eastAsia="Times New Roman" w:hAnsi="Segoe UI" w:cs="Segoe UI"/>
          <w:b/>
          <w:bCs/>
          <w:color w:val="0181B9"/>
          <w:sz w:val="21"/>
          <w:szCs w:val="21"/>
          <w:lang w:eastAsia="ru-RU"/>
        </w:rPr>
        <w:t>Обґрунтування запропонованого строку дії регуляторного акта</w:t>
      </w:r>
      <w:bookmarkEnd w:id="3"/>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Строк дії Порядку необмежений. Регуляторний акт може втратити чинність у зв’язку із змінами в законодавстві України.</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bookmarkStart w:id="4" w:name="bookmark21"/>
      <w:r w:rsidRPr="00B17C9B">
        <w:rPr>
          <w:rFonts w:ascii="Segoe UI" w:eastAsia="Times New Roman" w:hAnsi="Segoe UI" w:cs="Segoe UI"/>
          <w:b/>
          <w:bCs/>
          <w:color w:val="0181B9"/>
          <w:sz w:val="21"/>
          <w:szCs w:val="21"/>
          <w:lang w:eastAsia="ru-RU"/>
        </w:rPr>
        <w:t>Визначення показників результативності дії регуляторного акта</w:t>
      </w:r>
      <w:bookmarkEnd w:id="4"/>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Основними показниками результативності регуляторного акта є:</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 xml:space="preserve">надходження коштів </w:t>
      </w:r>
      <w:proofErr w:type="gramStart"/>
      <w:r w:rsidRPr="00B17C9B">
        <w:rPr>
          <w:rFonts w:ascii="Segoe UI" w:eastAsia="Times New Roman" w:hAnsi="Segoe UI" w:cs="Segoe UI"/>
          <w:color w:val="000000"/>
          <w:sz w:val="21"/>
          <w:szCs w:val="21"/>
          <w:lang w:eastAsia="ru-RU"/>
        </w:rPr>
        <w:t>до Державного бюджету</w:t>
      </w:r>
      <w:proofErr w:type="gramEnd"/>
      <w:r w:rsidRPr="00B17C9B">
        <w:rPr>
          <w:rFonts w:ascii="Segoe UI" w:eastAsia="Times New Roman" w:hAnsi="Segoe UI" w:cs="Segoe UI"/>
          <w:color w:val="000000"/>
          <w:sz w:val="21"/>
          <w:szCs w:val="21"/>
          <w:lang w:eastAsia="ru-RU"/>
        </w:rPr>
        <w:t xml:space="preserve"> у зв’язку з безпосередньою дією регуляторного акту - надходження коштів до державного бюджету не зміниться;</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кількість фізичних та юридичних осіб, на яких поширюється дія акта, не обмежується - дія регуляторного акта поширюється на 26603 суб’єкта господарювання;</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обсяг коштів і часу, що витрачатимуться суб’єктами господарювання та/або фізичними особами, пов’язаними з виконанням вимог акта - 1779740,70 грн/ на 1 рік та 3 год. на отримання одного дозволу (Тест малого підприємництва додається);</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рівень поінформованості суб’єктів господарювання та/або фізичних осіб - середній (регуляторний акт розміщено на офіційному сайті Дніпропетровської обласної державної адміністрації, також копія акта надаватиметься на вимогу у разі надходження відповідних звернень);</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9. Визначення заходів, за допомогою яких здійснюватиметься відстеження результативності дії регуляторного акта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Відстеження результативності регуляторного акта буде проводитись Департаментом інформаційної діяльності та комунікацій з громадськістю Дніпропетровської обласної державної адміністрації шляхом моніторингу статистичних даних отриманих облдержадміністрацією при виконанні вимог цього акту, а також на підставі соціологічних даних, отриманих шляхом опитування суб’єктів господарювання - розповсюджувачів реклами, а також споживачів послуг.</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Базове відстеження результативності дії регуляторного акта буде до набрання чинності регуляторним актом.</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Повторне відстеження планується провести через рік після набуття чинності регуляторного акта.</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Періодичне відстеження планується проводити один раз на три роки, починаючи від дня закінчення заходів щодо повторного відстеження результативності.</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За результатами проведення відстежень буде можливо порівняти показники результативності дії регуляторного акта. У разі виявлення неврегульованих та проблемних питань, вони будуть усунені шляхом внесення відповідних змін до регуторного акта.</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Директор департаменту інформаційної</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діяльності та комунікацій з громадськістю</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Дніпропетровської обласної державної адміністрації                В.М.МАЛАСАЙ</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Проект регуляторного акта – проект розпорядження голови Дніпропетровської обласної державної адміністрації та аналіз його регуляторного впливу підготовлені Департаментом інформаційної діяльності та комунікацій з громадськістю Дніпропетровської обласної державної адміністрації</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Тест</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малого підприємництва (М-тест)</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1. Консультації з представниками мікро- та малого підприємництва щодо оцінки впливу регулювання</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r w:rsidRPr="00B17C9B">
        <w:rPr>
          <w:rFonts w:ascii="Segoe UI" w:eastAsia="Times New Roman" w:hAnsi="Segoe UI" w:cs="Segoe UI"/>
          <w:color w:val="000000"/>
          <w:sz w:val="21"/>
          <w:szCs w:val="21"/>
          <w:lang w:eastAsia="ru-RU"/>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17.09.2018 р. по 09.10.2018 р.</w:t>
      </w:r>
    </w:p>
    <w:tbl>
      <w:tblPr>
        <w:tblW w:w="9510" w:type="dxa"/>
        <w:shd w:val="clear" w:color="auto" w:fill="FFFFFF"/>
        <w:tblCellMar>
          <w:left w:w="0" w:type="dxa"/>
          <w:right w:w="0" w:type="dxa"/>
        </w:tblCellMar>
        <w:tblLook w:val="04A0" w:firstRow="1" w:lastRow="0" w:firstColumn="1" w:lastColumn="0" w:noHBand="0" w:noVBand="1"/>
      </w:tblPr>
      <w:tblGrid>
        <w:gridCol w:w="1140"/>
        <w:gridCol w:w="4710"/>
        <w:gridCol w:w="1710"/>
        <w:gridCol w:w="1950"/>
      </w:tblGrid>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Порядк овий номер</w:t>
            </w:r>
          </w:p>
        </w:tc>
        <w:tc>
          <w:tcPr>
            <w:tcW w:w="47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Вид консультації (публічні консультації прямі (круглі столи, наради, робочі зустрічі</w:t>
            </w:r>
          </w:p>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тощо), інтернет-консультації прямі (інтернет-форуми, соціальні мережі тощо), запити (до підприємців, експертів, науковців тощо)</w:t>
            </w:r>
          </w:p>
        </w:tc>
        <w:tc>
          <w:tcPr>
            <w:tcW w:w="17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Кількість учасників консультацій, осіб</w:t>
            </w:r>
          </w:p>
        </w:tc>
        <w:tc>
          <w:tcPr>
            <w:tcW w:w="195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Основні результати консультацій (опис)</w:t>
            </w:r>
          </w:p>
        </w:tc>
      </w:tr>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w:t>
            </w:r>
          </w:p>
        </w:tc>
        <w:tc>
          <w:tcPr>
            <w:tcW w:w="47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Робочі наради</w:t>
            </w:r>
          </w:p>
        </w:tc>
        <w:tc>
          <w:tcPr>
            <w:tcW w:w="17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8</w:t>
            </w:r>
          </w:p>
        </w:t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Надано пропозиції щодо</w:t>
            </w:r>
            <w:r w:rsidRPr="00B17C9B">
              <w:rPr>
                <w:rFonts w:ascii="Segoe UI" w:eastAsia="Times New Roman" w:hAnsi="Segoe UI" w:cs="Segoe UI"/>
                <w:color w:val="000000"/>
                <w:sz w:val="21"/>
                <w:szCs w:val="21"/>
                <w:lang w:eastAsia="ru-RU"/>
              </w:rPr>
              <w:br/>
              <w:t>вдосконалення розробленого проекту акта</w:t>
            </w:r>
          </w:p>
        </w:tc>
      </w:tr>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w:t>
            </w:r>
          </w:p>
        </w:tc>
        <w:tc>
          <w:tcPr>
            <w:tcW w:w="47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Інтернет консультації</w:t>
            </w:r>
          </w:p>
        </w:tc>
        <w:tc>
          <w:tcPr>
            <w:tcW w:w="17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4</w:t>
            </w:r>
          </w:p>
        </w:tc>
        <w:tc>
          <w:tcPr>
            <w:tcW w:w="195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Надано пропозиції щодо вдосконалення розробленого проекту акта</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2. Вимірювання впливу регулювання на суб’єктів малого підприємництва (мікро- та малі):</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Кількість суб’єктів малого підприємництва, на яких поширюється регулювання: 26603 (одиниць), у тому числі малого підприємництва 3614 (одиниць) та мікропідприємництва 22989 (одиниць);</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питома вага суб’єктів малого підприємництва у загальній кількості суб’єктів господарювання, на яких проблема справляє вплив 100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3. Розрахунок витрат суб’єктів малого підприємництва на виконання вимог </w:t>
      </w:r>
      <w:r w:rsidRPr="00B17C9B">
        <w:rPr>
          <w:rFonts w:ascii="Segoe UI" w:eastAsia="Times New Roman" w:hAnsi="Segoe UI" w:cs="Segoe UI"/>
          <w:b/>
          <w:bCs/>
          <w:color w:val="000000"/>
          <w:sz w:val="21"/>
          <w:szCs w:val="21"/>
          <w:u w:val="single"/>
          <w:lang w:eastAsia="ru-RU"/>
        </w:rPr>
        <w:t>регулювання</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9570" w:type="dxa"/>
        <w:shd w:val="clear" w:color="auto" w:fill="FFFFFF"/>
        <w:tblCellMar>
          <w:left w:w="0" w:type="dxa"/>
          <w:right w:w="0" w:type="dxa"/>
        </w:tblCellMar>
        <w:tblLook w:val="04A0" w:firstRow="1" w:lastRow="0" w:firstColumn="1" w:lastColumn="0" w:noHBand="0" w:noVBand="1"/>
      </w:tblPr>
      <w:tblGrid>
        <w:gridCol w:w="1335"/>
        <w:gridCol w:w="2325"/>
        <w:gridCol w:w="1905"/>
        <w:gridCol w:w="1905"/>
        <w:gridCol w:w="2100"/>
      </w:tblGrid>
      <w:tr w:rsidR="00B17C9B" w:rsidRPr="00B17C9B" w:rsidTr="00B17C9B">
        <w:tc>
          <w:tcPr>
            <w:tcW w:w="13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Порядковий номер</w:t>
            </w:r>
          </w:p>
        </w:tc>
        <w:tc>
          <w:tcPr>
            <w:tcW w:w="23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Найменування оцінки</w:t>
            </w:r>
          </w:p>
        </w:tc>
        <w:tc>
          <w:tcPr>
            <w:tcW w:w="190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У перший рік (стартовий рік впровадження регулювання)</w:t>
            </w:r>
          </w:p>
        </w:tc>
        <w:tc>
          <w:tcPr>
            <w:tcW w:w="190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Періодичні (за наступний рік)</w:t>
            </w:r>
          </w:p>
        </w:tc>
        <w:tc>
          <w:tcPr>
            <w:tcW w:w="210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Витрати за п’ять років</w:t>
            </w:r>
          </w:p>
        </w:tc>
      </w:tr>
      <w:tr w:rsidR="00B17C9B" w:rsidRPr="00B17C9B" w:rsidTr="00B17C9B">
        <w:tc>
          <w:tcPr>
            <w:tcW w:w="9570" w:type="dxa"/>
            <w:gridSpan w:val="5"/>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Оцінка “прямих” витрат суб’єктів малого підприємництва на виконання регулювання</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1891"/>
        <w:gridCol w:w="3116"/>
        <w:gridCol w:w="1742"/>
        <w:gridCol w:w="1444"/>
        <w:gridCol w:w="1146"/>
      </w:tblGrid>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Порядковий номер</w:t>
            </w:r>
          </w:p>
        </w:tc>
        <w:tc>
          <w:tcPr>
            <w:tcW w:w="231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Найменування оцінки</w:t>
            </w:r>
          </w:p>
        </w:tc>
        <w:tc>
          <w:tcPr>
            <w:tcW w:w="19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У перший рік (стартовий рік впровадження регулювання)</w:t>
            </w:r>
          </w:p>
        </w:tc>
        <w:tc>
          <w:tcPr>
            <w:tcW w:w="166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Періодичні (за наступний рік)</w:t>
            </w:r>
          </w:p>
        </w:tc>
        <w:tc>
          <w:tcPr>
            <w:tcW w:w="13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Витрати за п’ять років</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Придбання</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необхідного</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обладнання</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(пристроїв, машин,</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механізмів)</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Формула:</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i/>
                <w:iCs/>
                <w:color w:val="000000"/>
                <w:sz w:val="21"/>
                <w:szCs w:val="21"/>
                <w:lang w:eastAsia="ru-RU"/>
              </w:rPr>
              <w:t>кількість</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i/>
                <w:iCs/>
                <w:color w:val="000000"/>
                <w:sz w:val="21"/>
                <w:szCs w:val="21"/>
                <w:lang w:eastAsia="ru-RU"/>
              </w:rPr>
              <w:t>необхідних одиниць</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i/>
                <w:iCs/>
                <w:color w:val="000000"/>
                <w:sz w:val="21"/>
                <w:szCs w:val="21"/>
                <w:lang w:eastAsia="ru-RU"/>
              </w:rPr>
              <w:t>обладнання X</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i/>
                <w:iCs/>
                <w:color w:val="000000"/>
                <w:sz w:val="21"/>
                <w:szCs w:val="21"/>
                <w:lang w:eastAsia="ru-RU"/>
              </w:rPr>
              <w:t>вартість одиниці</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Процедури повірки та/або постановки на відповідний облік у</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визначеному органі державної влади чи місцевого самоврядування</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Формула: прямі витрати на процедури повірки (проведення первинного обстеоісення) в органі державної влади + витрати часу на процедуру обліку (на одиницю обладнання) X вартість часу суб’єкта малого підприємництва (заробітна плата) X оціночна кількість процедур обліку за рік) X кількість</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i/>
                <w:iCs/>
                <w:color w:val="000000"/>
                <w:sz w:val="21"/>
                <w:szCs w:val="21"/>
                <w:lang w:eastAsia="ru-RU"/>
              </w:rPr>
              <w:t>необхідних одиниць обладнання одному суб’єкту малого підприємництва</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Процедури</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експлуатації</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обладнання</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(експлуатаційні</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витрати - витратні</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матеріали)</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 </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i/>
                <w:iCs/>
                <w:color w:val="000000"/>
                <w:sz w:val="21"/>
                <w:szCs w:val="21"/>
                <w:lang w:eastAsia="ru-RU"/>
              </w:rPr>
              <w:t>Формула: оцінка витрат на експлуатацію обладнання (витратні матеріали та ресурси на одиницю обладнання на рік) X кількість необхідних</w:t>
            </w:r>
            <w:r w:rsidRPr="00B17C9B">
              <w:rPr>
                <w:rFonts w:ascii="Segoe UI" w:eastAsia="Times New Roman" w:hAnsi="Segoe UI" w:cs="Segoe UI"/>
                <w:color w:val="000000"/>
                <w:sz w:val="21"/>
                <w:szCs w:val="21"/>
                <w:lang w:eastAsia="ru-RU"/>
              </w:rPr>
              <w:t> </w:t>
            </w:r>
            <w:r w:rsidRPr="00B17C9B">
              <w:rPr>
                <w:rFonts w:ascii="Segoe UI" w:eastAsia="Times New Roman" w:hAnsi="Segoe UI" w:cs="Segoe UI"/>
                <w:i/>
                <w:iCs/>
                <w:color w:val="000000"/>
                <w:sz w:val="21"/>
                <w:szCs w:val="21"/>
                <w:lang w:eastAsia="ru-RU"/>
              </w:rPr>
              <w:t>одиниць обладнання одному суб’єкту малого підприємництва</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Процедури</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обслуговування</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обладнання</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(технічне</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обслуговування)</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Формула: оцінка вартості процедури обслуговування обладнання (на одиницю обладнання) X кількість процедур технічного обслуговування на рік на одиницю обладнання X кількість</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i/>
                <w:iCs/>
                <w:color w:val="000000"/>
                <w:sz w:val="21"/>
                <w:szCs w:val="21"/>
                <w:lang w:eastAsia="ru-RU"/>
              </w:rPr>
              <w:t>необхідних одиниць обладнання одному суб’єкту малого підприємництва</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5</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*Інші процедури (уточнити):</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6</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Разом, гривень</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Формула:</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(сума рядків 1 + 2 + 3 + 4 + 5)</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7</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Кількість суб’єктів господарювання, що повинні виконати вимоги регулювання, одиниць</w:t>
            </w:r>
          </w:p>
        </w:tc>
        <w:tc>
          <w:tcPr>
            <w:tcW w:w="4965" w:type="dxa"/>
            <w:gridSpan w:val="3"/>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26603</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8</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Сумарно, гривень</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Формула: відповідний стовпчик "разом" X кількість суб’єктів малого підприємництва, що повинні виконати вимоги регулювання</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9600" w:type="dxa"/>
            <w:gridSpan w:val="5"/>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Оцінка вартості адміністративних процедур суб’єктів малого підприємництва щодо виконання регулювання та звітування</w:t>
            </w:r>
            <w:r w:rsidRPr="00B17C9B">
              <w:rPr>
                <w:rFonts w:ascii="Segoe UI" w:eastAsia="Times New Roman" w:hAnsi="Segoe UI" w:cs="Segoe UI"/>
                <w:color w:val="000000"/>
                <w:sz w:val="21"/>
                <w:szCs w:val="21"/>
                <w:lang w:eastAsia="ru-RU"/>
              </w:rPr>
              <w:br/>
            </w:r>
          </w:p>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Для розрахунку оцінки вартості адміністративних процедур суб’єктів малого підприємництва щодо виконання регулювання та звітування враховується розмір мінімальної заробітної плати станом на 01 січня 2018 – 3723 грн, відповідно до Закону України “Про Державний бюджет України на 2018 рік” від 07.12.2017 р. № 2246-VIII</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9</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Процедури</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отримання</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первинної</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інформації про</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вимоги</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регулювання</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 xml:space="preserve">Формула: витрати часу на отримання інформації про регулювання (0,5 год.) + отримання необхідних форм та </w:t>
            </w:r>
            <w:proofErr w:type="gramStart"/>
            <w:r w:rsidRPr="00B17C9B">
              <w:rPr>
                <w:rFonts w:ascii="Segoe UI" w:eastAsia="Times New Roman" w:hAnsi="Segoe UI" w:cs="Segoe UI"/>
                <w:i/>
                <w:iCs/>
                <w:color w:val="000000"/>
                <w:sz w:val="21"/>
                <w:szCs w:val="21"/>
                <w:lang w:eastAsia="ru-RU"/>
              </w:rPr>
              <w:t>заявок(</w:t>
            </w:r>
            <w:proofErr w:type="gramEnd"/>
            <w:r w:rsidRPr="00B17C9B">
              <w:rPr>
                <w:rFonts w:ascii="Segoe UI" w:eastAsia="Times New Roman" w:hAnsi="Segoe UI" w:cs="Segoe UI"/>
                <w:i/>
                <w:iCs/>
                <w:color w:val="000000"/>
                <w:sz w:val="21"/>
                <w:szCs w:val="21"/>
                <w:lang w:eastAsia="ru-RU"/>
              </w:rPr>
              <w:t>0,5 год.) X вартість часу суб’єкта малого підприємництва</w:t>
            </w:r>
            <w:proofErr w:type="gramStart"/>
            <w:r w:rsidRPr="00B17C9B">
              <w:rPr>
                <w:rFonts w:ascii="Segoe UI" w:eastAsia="Times New Roman" w:hAnsi="Segoe UI" w:cs="Segoe UI"/>
                <w:i/>
                <w:iCs/>
                <w:color w:val="000000"/>
                <w:sz w:val="21"/>
                <w:szCs w:val="21"/>
                <w:lang w:eastAsia="ru-RU"/>
              </w:rPr>
              <w:t>   (</w:t>
            </w:r>
            <w:proofErr w:type="gramEnd"/>
            <w:r w:rsidRPr="00B17C9B">
              <w:rPr>
                <w:rFonts w:ascii="Segoe UI" w:eastAsia="Times New Roman" w:hAnsi="Segoe UI" w:cs="Segoe UI"/>
                <w:i/>
                <w:iCs/>
                <w:color w:val="000000"/>
                <w:sz w:val="21"/>
                <w:szCs w:val="21"/>
                <w:lang w:eastAsia="ru-RU"/>
              </w:rPr>
              <w:t>22,3 грн/</w:t>
            </w:r>
            <w:r w:rsidRPr="00B17C9B">
              <w:rPr>
                <w:rFonts w:ascii="Segoe UI" w:eastAsia="Times New Roman" w:hAnsi="Segoe UI" w:cs="Segoe UI"/>
                <w:b/>
                <w:bCs/>
                <w:i/>
                <w:iCs/>
                <w:color w:val="000000"/>
                <w:sz w:val="21"/>
                <w:szCs w:val="21"/>
                <w:lang w:eastAsia="ru-RU"/>
              </w:rPr>
              <w:t>год</w:t>
            </w:r>
            <w:r w:rsidRPr="00B17C9B">
              <w:rPr>
                <w:rFonts w:ascii="Segoe UI" w:eastAsia="Times New Roman" w:hAnsi="Segoe UI" w:cs="Segoe UI"/>
                <w:i/>
                <w:iCs/>
                <w:color w:val="000000"/>
                <w:sz w:val="21"/>
                <w:szCs w:val="21"/>
                <w:lang w:eastAsia="ru-RU"/>
              </w:rPr>
              <w:t>. *) (*мінімальна заробітна  плата   -3723 грн поділити на середню тривалість робочого часу 167  годин /місяць)</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22,30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22,30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10</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Процедури організації виконання вимог регулювання</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Формула: Витрати часу на розроблення та організацію внутрішніх для суб’єкта господарювання процедур впро- вадження вимог регулювання (2 год. х 22,30 грн)</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44,60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44,60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11</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Процедури офіційного звітування</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 xml:space="preserve">Формула: 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w:t>
            </w:r>
            <w:r w:rsidRPr="00B17C9B">
              <w:rPr>
                <w:rFonts w:ascii="Segoe UI" w:eastAsia="Times New Roman" w:hAnsi="Segoe UI" w:cs="Segoe UI"/>
                <w:i/>
                <w:iCs/>
                <w:color w:val="000000"/>
                <w:sz w:val="21"/>
                <w:szCs w:val="21"/>
                <w:lang w:eastAsia="ru-RU"/>
              </w:rPr>
              <w:lastRenderedPageBreak/>
              <w:t>інформації з оцінкою кількості суб’єктів, що користують ся 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X вартість часу суб’єкта малого підприємництва (заробітна плата)Х оціночна кількість оригінальних звітів Х кількість періодів звітності за рік </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12</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Процедури щодо забезпечення процесу перевірок</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Формула:</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i/>
                <w:iCs/>
                <w:color w:val="000000"/>
                <w:sz w:val="21"/>
                <w:szCs w:val="21"/>
                <w:lang w:eastAsia="ru-RU"/>
              </w:rPr>
              <w:t>витрати часу на забезпечення процесу перевірок з боку контролюючих органів (0 год.) вартість часу суб’єкта малого підприємництва (0 грн./год.)</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13</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Інші процедури (уточнити)</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14</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Разом, гривень</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Формула:</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(сума рядків 9 + 10 + 11 + 12 + 13)</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66,9</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66,9*</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15</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Кількість суб’єктів малого</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підприємництва, що повинні виконати вимоги регулювання, одиниць</w:t>
            </w:r>
          </w:p>
        </w:tc>
        <w:tc>
          <w:tcPr>
            <w:tcW w:w="1935"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26603</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c>
      </w:tr>
      <w:tr w:rsidR="00B17C9B" w:rsidRPr="00B17C9B" w:rsidTr="00B17C9B">
        <w:tc>
          <w:tcPr>
            <w:tcW w:w="23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16</w:t>
            </w:r>
          </w:p>
        </w:tc>
        <w:tc>
          <w:tcPr>
            <w:tcW w:w="23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Сумарно, гривень</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i/>
                <w:iCs/>
                <w:color w:val="000000"/>
                <w:sz w:val="21"/>
                <w:szCs w:val="21"/>
                <w:lang w:eastAsia="ru-RU"/>
              </w:rPr>
              <w:t>Формула: відповідний стовпчик “разом” X кількість суб’єктів малого підприємництва, що повинні виконати вимоги регулювання (рядок 14 X рядок 15)</w:t>
            </w:r>
          </w:p>
        </w:tc>
        <w:tc>
          <w:tcPr>
            <w:tcW w:w="193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1 779 740,70</w:t>
            </w:r>
          </w:p>
        </w:tc>
        <w:tc>
          <w:tcPr>
            <w:tcW w:w="16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38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1 779 740,70*</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xml:space="preserve">* </w:t>
      </w:r>
      <w:proofErr w:type="gramStart"/>
      <w:r w:rsidRPr="00B17C9B">
        <w:rPr>
          <w:rFonts w:ascii="Segoe UI" w:eastAsia="Times New Roman" w:hAnsi="Segoe UI" w:cs="Segoe UI"/>
          <w:b/>
          <w:bCs/>
          <w:color w:val="000000"/>
          <w:sz w:val="21"/>
          <w:szCs w:val="21"/>
          <w:lang w:eastAsia="ru-RU"/>
        </w:rPr>
        <w:t>В</w:t>
      </w:r>
      <w:proofErr w:type="gramEnd"/>
      <w:r w:rsidRPr="00B17C9B">
        <w:rPr>
          <w:rFonts w:ascii="Segoe UI" w:eastAsia="Times New Roman" w:hAnsi="Segoe UI" w:cs="Segoe UI"/>
          <w:b/>
          <w:bCs/>
          <w:color w:val="000000"/>
          <w:sz w:val="21"/>
          <w:szCs w:val="21"/>
          <w:lang w:eastAsia="ru-RU"/>
        </w:rPr>
        <w:t xml:space="preserve"> середньому дозвіл планується видавати строком до 5 років.</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p w:rsidR="00B17C9B" w:rsidRPr="00B17C9B" w:rsidRDefault="00B17C9B" w:rsidP="00B17C9B">
      <w:pPr>
        <w:shd w:val="clear" w:color="auto" w:fill="FFFFFF"/>
        <w:spacing w:after="150" w:line="240" w:lineRule="auto"/>
        <w:jc w:val="center"/>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Бюджетні витрати на адміністрування регулювання суб’єктів малого підприємництва.</w:t>
      </w:r>
    </w:p>
    <w:tbl>
      <w:tblPr>
        <w:tblW w:w="9645" w:type="dxa"/>
        <w:shd w:val="clear" w:color="auto" w:fill="FFFFFF"/>
        <w:tblCellMar>
          <w:left w:w="0" w:type="dxa"/>
          <w:right w:w="0" w:type="dxa"/>
        </w:tblCellMar>
        <w:tblLook w:val="04A0" w:firstRow="1" w:lastRow="0" w:firstColumn="1" w:lastColumn="0" w:noHBand="0" w:noVBand="1"/>
      </w:tblPr>
      <w:tblGrid>
        <w:gridCol w:w="2216"/>
        <w:gridCol w:w="1394"/>
        <w:gridCol w:w="1543"/>
        <w:gridCol w:w="1405"/>
        <w:gridCol w:w="1399"/>
        <w:gridCol w:w="1688"/>
      </w:tblGrid>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Процедура регулювання суб’єктів малого</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Підприємництва (розрахунок на одного типового суб'єкта господарювання малого</w:t>
            </w:r>
            <w:r w:rsidRPr="00B17C9B">
              <w:rPr>
                <w:rFonts w:ascii="Segoe UI" w:eastAsia="Times New Roman" w:hAnsi="Segoe UI" w:cs="Segoe UI"/>
                <w:color w:val="000000"/>
                <w:sz w:val="21"/>
                <w:szCs w:val="21"/>
                <w:lang w:eastAsia="ru-RU"/>
              </w:rPr>
              <w:br/>
              <w:t>підприємництва за потреби окремо для суб’єктів малого та мікро-</w:t>
            </w:r>
            <w:r w:rsidRPr="00B17C9B">
              <w:rPr>
                <w:rFonts w:ascii="Segoe UI" w:eastAsia="Times New Roman" w:hAnsi="Segoe UI" w:cs="Segoe UI"/>
                <w:color w:val="000000"/>
                <w:sz w:val="21"/>
                <w:szCs w:val="21"/>
                <w:lang w:eastAsia="ru-RU"/>
              </w:rPr>
              <w:br/>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підприєм-ництв)</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Планові витрати часу на процедуру</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Вартість часу співробітника органу держав-ної влади</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Відповід-ної</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категорії</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(заробіт-на</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плата)</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грн/год.</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Оцінка</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кількості</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процедур</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за рік, що</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припадають на одного</w:t>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суб’єкта</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Оцінка кількості суб’єктів, що</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Підпада-ють під дію процеду-ри регулювання</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Витрати на адміністрування регулюва-ння* (за рік), гривень</w:t>
            </w: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1.Облік суб’єкта господарювання, що перебуває у сфері</w:t>
            </w:r>
            <w:r w:rsidRPr="00B17C9B">
              <w:rPr>
                <w:rFonts w:ascii="Segoe UI" w:eastAsia="Times New Roman" w:hAnsi="Segoe UI" w:cs="Segoe UI"/>
                <w:color w:val="000000"/>
                <w:sz w:val="21"/>
                <w:szCs w:val="21"/>
                <w:lang w:eastAsia="ru-RU"/>
              </w:rPr>
              <w:br/>
            </w:r>
          </w:p>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регулювання</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0,5 год.</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28,7 посадо-вий оклад головно-го спеціалі-ста - 4800 грн. згідно Постано-ви Кабінету Міністрів України від 18 січня 2017 р. № 15 (зі змінами) поділити на середню трива-лість робочого часу 167 годин/ місяць)</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 1</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 26603</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381 753,05</w:t>
            </w:r>
            <w:r w:rsidRPr="00B17C9B">
              <w:rPr>
                <w:rFonts w:ascii="Segoe UI" w:eastAsia="Times New Roman" w:hAnsi="Segoe UI" w:cs="Segoe UI"/>
                <w:color w:val="000000"/>
                <w:sz w:val="21"/>
                <w:szCs w:val="21"/>
                <w:lang w:eastAsia="ru-RU"/>
              </w:rPr>
              <w:br/>
              <w:t>(середня заробітна плата/ на кількість витрат часу на процедуру X кількість суб’єктів господарювання, що підпада-ють під дію</w:t>
            </w:r>
            <w:r w:rsidRPr="00B17C9B">
              <w:rPr>
                <w:rFonts w:ascii="Segoe UI" w:eastAsia="Times New Roman" w:hAnsi="Segoe UI" w:cs="Segoe UI"/>
                <w:color w:val="000000"/>
                <w:sz w:val="21"/>
                <w:szCs w:val="21"/>
                <w:lang w:eastAsia="ru-RU"/>
              </w:rPr>
              <w:br/>
              <w:t>регулювання)</w:t>
            </w: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 Поточний контроль за суб’єктом господарювання, що перебуває у сфері</w:t>
            </w:r>
          </w:p>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регулювання, у тому числі: камеральні й виїзні перевірки</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3.Підготовка, затвердження та опрацювання одного окремого акта про порушення вимог регулювання</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4. Реалізація</w:t>
            </w:r>
            <w:r w:rsidRPr="00B17C9B">
              <w:rPr>
                <w:rFonts w:ascii="Segoe UI" w:eastAsia="Times New Roman" w:hAnsi="Segoe UI" w:cs="Segoe UI"/>
                <w:color w:val="000000"/>
                <w:sz w:val="21"/>
                <w:szCs w:val="21"/>
                <w:lang w:eastAsia="ru-RU"/>
              </w:rPr>
              <w:br/>
              <w:t>одного</w:t>
            </w:r>
            <w:r w:rsidRPr="00B17C9B">
              <w:rPr>
                <w:rFonts w:ascii="Segoe UI" w:eastAsia="Times New Roman" w:hAnsi="Segoe UI" w:cs="Segoe UI"/>
                <w:color w:val="000000"/>
                <w:sz w:val="21"/>
                <w:szCs w:val="21"/>
                <w:lang w:eastAsia="ru-RU"/>
              </w:rPr>
              <w:br/>
              <w:t>окремого</w:t>
            </w:r>
            <w:r w:rsidRPr="00B17C9B">
              <w:rPr>
                <w:rFonts w:ascii="Segoe UI" w:eastAsia="Times New Roman" w:hAnsi="Segoe UI" w:cs="Segoe UI"/>
                <w:color w:val="000000"/>
                <w:sz w:val="21"/>
                <w:szCs w:val="21"/>
                <w:lang w:eastAsia="ru-RU"/>
              </w:rPr>
              <w:br/>
              <w:t>рішення щодо</w:t>
            </w:r>
            <w:r w:rsidRPr="00B17C9B">
              <w:rPr>
                <w:rFonts w:ascii="Segoe UI" w:eastAsia="Times New Roman" w:hAnsi="Segoe UI" w:cs="Segoe UI"/>
                <w:color w:val="000000"/>
                <w:sz w:val="21"/>
                <w:szCs w:val="21"/>
                <w:lang w:eastAsia="ru-RU"/>
              </w:rPr>
              <w:br/>
            </w:r>
            <w:r w:rsidRPr="00B17C9B">
              <w:rPr>
                <w:rFonts w:ascii="Segoe UI" w:eastAsia="Times New Roman" w:hAnsi="Segoe UI" w:cs="Segoe UI"/>
                <w:color w:val="000000"/>
                <w:sz w:val="21"/>
                <w:szCs w:val="21"/>
                <w:lang w:eastAsia="ru-RU"/>
              </w:rPr>
              <w:lastRenderedPageBreak/>
              <w:t>порушення</w:t>
            </w:r>
            <w:r w:rsidRPr="00B17C9B">
              <w:rPr>
                <w:rFonts w:ascii="Segoe UI" w:eastAsia="Times New Roman" w:hAnsi="Segoe UI" w:cs="Segoe UI"/>
                <w:color w:val="000000"/>
                <w:sz w:val="21"/>
                <w:szCs w:val="21"/>
                <w:lang w:eastAsia="ru-RU"/>
              </w:rPr>
              <w:br/>
              <w:t>вимог</w:t>
            </w:r>
            <w:r w:rsidRPr="00B17C9B">
              <w:rPr>
                <w:rFonts w:ascii="Segoe UI" w:eastAsia="Times New Roman" w:hAnsi="Segoe UI" w:cs="Segoe UI"/>
                <w:color w:val="000000"/>
                <w:sz w:val="21"/>
                <w:szCs w:val="21"/>
                <w:lang w:eastAsia="ru-RU"/>
              </w:rPr>
              <w:br/>
              <w:t>регулювання</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lastRenderedPageBreak/>
              <w:t>5. Оскарження</w:t>
            </w:r>
            <w:r w:rsidRPr="00B17C9B">
              <w:rPr>
                <w:rFonts w:ascii="Segoe UI" w:eastAsia="Times New Roman" w:hAnsi="Segoe UI" w:cs="Segoe UI"/>
                <w:color w:val="000000"/>
                <w:sz w:val="21"/>
                <w:szCs w:val="21"/>
                <w:lang w:eastAsia="ru-RU"/>
              </w:rPr>
              <w:br/>
              <w:t>одного</w:t>
            </w:r>
            <w:r w:rsidRPr="00B17C9B">
              <w:rPr>
                <w:rFonts w:ascii="Segoe UI" w:eastAsia="Times New Roman" w:hAnsi="Segoe UI" w:cs="Segoe UI"/>
                <w:color w:val="000000"/>
                <w:sz w:val="21"/>
                <w:szCs w:val="21"/>
                <w:lang w:eastAsia="ru-RU"/>
              </w:rPr>
              <w:br/>
              <w:t>окремого</w:t>
            </w:r>
            <w:r w:rsidRPr="00B17C9B">
              <w:rPr>
                <w:rFonts w:ascii="Segoe UI" w:eastAsia="Times New Roman" w:hAnsi="Segoe UI" w:cs="Segoe UI"/>
                <w:color w:val="000000"/>
                <w:sz w:val="21"/>
                <w:szCs w:val="21"/>
                <w:lang w:eastAsia="ru-RU"/>
              </w:rPr>
              <w:br/>
              <w:t>рішення</w:t>
            </w:r>
            <w:r w:rsidRPr="00B17C9B">
              <w:rPr>
                <w:rFonts w:ascii="Segoe UI" w:eastAsia="Times New Roman" w:hAnsi="Segoe UI" w:cs="Segoe UI"/>
                <w:color w:val="000000"/>
                <w:sz w:val="21"/>
                <w:szCs w:val="21"/>
                <w:lang w:eastAsia="ru-RU"/>
              </w:rPr>
              <w:br/>
              <w:t>суб’єктами</w:t>
            </w:r>
            <w:r w:rsidRPr="00B17C9B">
              <w:rPr>
                <w:rFonts w:ascii="Segoe UI" w:eastAsia="Times New Roman" w:hAnsi="Segoe UI" w:cs="Segoe UI"/>
                <w:color w:val="000000"/>
                <w:sz w:val="21"/>
                <w:szCs w:val="21"/>
                <w:lang w:eastAsia="ru-RU"/>
              </w:rPr>
              <w:br/>
              <w:t>господарювання</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6. Підготовка звітності за результатами регулювання</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7. Інші</w:t>
            </w:r>
            <w:r w:rsidRPr="00B17C9B">
              <w:rPr>
                <w:rFonts w:ascii="Segoe UI" w:eastAsia="Times New Roman" w:hAnsi="Segoe UI" w:cs="Segoe UI"/>
                <w:color w:val="000000"/>
                <w:sz w:val="21"/>
                <w:szCs w:val="21"/>
                <w:lang w:eastAsia="ru-RU"/>
              </w:rPr>
              <w:br/>
              <w:t>адміністративні</w:t>
            </w:r>
            <w:r w:rsidRPr="00B17C9B">
              <w:rPr>
                <w:rFonts w:ascii="Segoe UI" w:eastAsia="Times New Roman" w:hAnsi="Segoe UI" w:cs="Segoe UI"/>
                <w:color w:val="000000"/>
                <w:sz w:val="21"/>
                <w:szCs w:val="21"/>
                <w:lang w:eastAsia="ru-RU"/>
              </w:rPr>
              <w:br/>
              <w:t>процедури</w:t>
            </w:r>
            <w:r w:rsidRPr="00B17C9B">
              <w:rPr>
                <w:rFonts w:ascii="Segoe UI" w:eastAsia="Times New Roman" w:hAnsi="Segoe UI" w:cs="Segoe UI"/>
                <w:color w:val="000000"/>
                <w:sz w:val="21"/>
                <w:szCs w:val="21"/>
                <w:lang w:eastAsia="ru-RU"/>
              </w:rPr>
              <w:br/>
              <w:t>(уточнити):</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Разом за рік</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381 753,05</w:t>
            </w:r>
          </w:p>
        </w:tc>
      </w:tr>
      <w:tr w:rsidR="00B17C9B" w:rsidRPr="00B17C9B" w:rsidTr="00B17C9B">
        <w:tc>
          <w:tcPr>
            <w:tcW w:w="226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Сумарно за п’ять років</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c>
          <w:tcPr>
            <w:tcW w:w="1425"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c>
          <w:tcPr>
            <w:tcW w:w="141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X</w:t>
            </w:r>
          </w:p>
        </w:tc>
        <w:tc>
          <w:tcPr>
            <w:tcW w:w="1560" w:type="dxa"/>
            <w:tcBorders>
              <w:top w:val="single" w:sz="6" w:space="0" w:color="DDDDDD"/>
              <w:left w:val="single" w:sz="6" w:space="0" w:color="DDDDDD"/>
              <w:bottom w:val="single" w:sz="6" w:space="0" w:color="DDDDDD"/>
              <w:right w:val="single" w:sz="6" w:space="0" w:color="DDDDDD"/>
            </w:tcBorders>
            <w:shd w:val="clear" w:color="auto" w:fill="FFFFFF"/>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381 753,05</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4. Розрахунок сумарних витрат суб’єктів малого підприємництва, що виникають на виконання вимог регулювання</w:t>
      </w:r>
    </w:p>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b/>
          <w:bCs/>
          <w:color w:val="000000"/>
          <w:sz w:val="21"/>
          <w:szCs w:val="21"/>
          <w:lang w:eastAsia="ru-RU"/>
        </w:rPr>
        <w:t> </w:t>
      </w:r>
    </w:p>
    <w:tbl>
      <w:tblPr>
        <w:tblW w:w="9645" w:type="dxa"/>
        <w:shd w:val="clear" w:color="auto" w:fill="FFFFFF"/>
        <w:tblCellMar>
          <w:left w:w="0" w:type="dxa"/>
          <w:right w:w="0" w:type="dxa"/>
        </w:tblCellMar>
        <w:tblLook w:val="04A0" w:firstRow="1" w:lastRow="0" w:firstColumn="1" w:lastColumn="0" w:noHBand="0" w:noVBand="1"/>
      </w:tblPr>
      <w:tblGrid>
        <w:gridCol w:w="1142"/>
        <w:gridCol w:w="4537"/>
        <w:gridCol w:w="1983"/>
        <w:gridCol w:w="1983"/>
      </w:tblGrid>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Поряд ковий номер</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Показник</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Перший рік</w:t>
            </w:r>
            <w:r w:rsidRPr="00B17C9B">
              <w:rPr>
                <w:rFonts w:ascii="Segoe UI" w:eastAsia="Times New Roman" w:hAnsi="Segoe UI" w:cs="Segoe UI"/>
                <w:color w:val="000000"/>
                <w:sz w:val="21"/>
                <w:szCs w:val="21"/>
                <w:lang w:eastAsia="ru-RU"/>
              </w:rPr>
              <w:br/>
              <w:t>регулювання</w:t>
            </w:r>
            <w:r w:rsidRPr="00B17C9B">
              <w:rPr>
                <w:rFonts w:ascii="Segoe UI" w:eastAsia="Times New Roman" w:hAnsi="Segoe UI" w:cs="Segoe UI"/>
                <w:color w:val="000000"/>
                <w:sz w:val="21"/>
                <w:szCs w:val="21"/>
                <w:lang w:eastAsia="ru-RU"/>
              </w:rPr>
              <w:br/>
              <w:t>(стартовий)</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За п’ять років</w:t>
            </w:r>
          </w:p>
        </w:tc>
      </w:tr>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Оцінка “прямих” витрат суб’єктів малого підприємництва на виконання регулювання</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0</w:t>
            </w:r>
          </w:p>
        </w:tc>
      </w:tr>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Оцінка вартості адміністративних процедур для суб’єктів малого підприємництва щодо виконання регулювання та звітування</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1 779 740,70</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1 779 740,70</w:t>
            </w:r>
          </w:p>
        </w:tc>
      </w:tr>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Сумарні витрати малого підприємництва на виконання запланованого регулювання</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1 779 740,70</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1 779 740,70</w:t>
            </w:r>
          </w:p>
        </w:tc>
      </w:tr>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4</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Бюджетні витрати на адміністрування регулювання суб’єктів малого підприємництва</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381 753,05</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381 753,05</w:t>
            </w:r>
          </w:p>
        </w:tc>
      </w:tr>
      <w:tr w:rsidR="00B17C9B" w:rsidRPr="00B17C9B" w:rsidTr="00B17C9B">
        <w:tc>
          <w:tcPr>
            <w:tcW w:w="114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5</w:t>
            </w:r>
          </w:p>
        </w:tc>
        <w:tc>
          <w:tcPr>
            <w:tcW w:w="453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Сумарні витрати на виконання запланованого регулювання</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2 161 493,75</w:t>
            </w:r>
          </w:p>
        </w:tc>
        <w:tc>
          <w:tcPr>
            <w:tcW w:w="1980" w:type="dxa"/>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B17C9B" w:rsidRPr="00B17C9B" w:rsidRDefault="00B17C9B" w:rsidP="00B17C9B">
            <w:pPr>
              <w:spacing w:after="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2 161 493,75</w:t>
            </w:r>
          </w:p>
        </w:tc>
      </w:tr>
    </w:tbl>
    <w:p w:rsidR="00B17C9B" w:rsidRPr="00B17C9B" w:rsidRDefault="00B17C9B" w:rsidP="00B17C9B">
      <w:pPr>
        <w:shd w:val="clear" w:color="auto" w:fill="FFFFFF"/>
        <w:spacing w:after="150" w:line="240" w:lineRule="auto"/>
        <w:rPr>
          <w:rFonts w:ascii="Segoe UI" w:eastAsia="Times New Roman" w:hAnsi="Segoe UI" w:cs="Segoe UI"/>
          <w:color w:val="000000"/>
          <w:sz w:val="21"/>
          <w:szCs w:val="21"/>
          <w:lang w:eastAsia="ru-RU"/>
        </w:rPr>
      </w:pPr>
      <w:r w:rsidRPr="00B17C9B">
        <w:rPr>
          <w:rFonts w:ascii="Segoe UI" w:eastAsia="Times New Roman" w:hAnsi="Segoe UI" w:cs="Segoe UI"/>
          <w:color w:val="000000"/>
          <w:sz w:val="21"/>
          <w:szCs w:val="21"/>
          <w:lang w:eastAsia="ru-RU"/>
        </w:rPr>
        <w:t>Директор департаменту інформаційної діяльності та комунікацій з громадськістю Дніпропетровської обласної державної адміністрації                В.М.МАЛАСАЙ</w:t>
      </w:r>
    </w:p>
    <w:p w:rsidR="00C927B5" w:rsidRDefault="00C927B5"/>
    <w:sectPr w:rsidR="00C92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9B"/>
    <w:rsid w:val="00B17C9B"/>
    <w:rsid w:val="00C9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70916-F3B7-4EE0-8F52-8B9710D5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7C9B"/>
    <w:rPr>
      <w:b/>
      <w:bCs/>
    </w:rPr>
  </w:style>
  <w:style w:type="character" w:styleId="a5">
    <w:name w:val="Emphasis"/>
    <w:basedOn w:val="a0"/>
    <w:uiPriority w:val="20"/>
    <w:qFormat/>
    <w:rsid w:val="00B17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03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3156</Words>
  <Characters>17992</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Креминская Татьяна</dc:creator>
  <cp:keywords/>
  <dc:description/>
  <cp:lastModifiedBy>Креминская Татьяна</cp:lastModifiedBy>
  <cp:revision>1</cp:revision>
  <dcterms:created xsi:type="dcterms:W3CDTF">2019-09-24T08:13:00Z</dcterms:created>
  <dcterms:modified xsi:type="dcterms:W3CDTF">2019-09-24T08:15:00Z</dcterms:modified>
</cp:coreProperties>
</file>