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35 завдання 67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374-р, </w:t>
        <w:br w:type="textWrapping"/>
        <w:t xml:space="preserve">за 2025 рік</w:t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виконання заходу 35 завдання 67 Плану заходів (забезпечення розвитку програми місцевих стимулів фахівців з психічного здоров’я) окремі програми місцевих стимулів для збереження у комунальних закладах охорони здоров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висококваліфікованих медичних працівників за вказаними спеціальностями у 2025 ро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і не запроваджувалися, водночас для підвищення рівня кадрового забезпечення та професійної підготовки фахівців територіальні громади вносять в свої програми заходи щодо стимулювання лікарів закладів охорони здоров’я комуналь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ної форми власності, що поширюється на лікарів усіх спеціальностей за умови виконання встановлених критеріїв.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Основні заходи, які вносяться до програм: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виплата одноразової грошової допомоги при працевлаштуванні;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заохочувальні надбавки молодим лікарям-спеціалістам в розмірі 50% посадового окладу;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премії, диференціація та інші доплати, в тому числі за складність та напруженість;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Обсяг видатків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стимулювання фахівців з психічного здоров'я (лікарі психолого-психіатричного профілю, професіонали з психологічної допомоги, практичні психологи тощо) у 2025 році склав 747,843 тис. грн.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Крім того, заклади охорони здоров’я спроможні самостійно мотивувати висококваліфікованих працівників шляхом запровадження премій та інших надбавок до заробітної плати.</w:t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bXVr29BTEjDBMIJbqwTNgwVPA==">CgMxLjA4AHIhMVdyQmtqcWVNbGd3SzQ1VkU4emVWVnJ5Qnl2eTh5SWtj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