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12 завдання 58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 виконання заходу 12 завдання 58 Плану заходів (забезпечення проведення навчання (тренінгів, вебінарів) для працівників державних та комунальних закладів охорони здоров’я щодо політики безбар’єрності та недискримінації осіб з інвалідністю та інших маломобільних груп населення) в Дніпропетровській області протягом 2025 року проведено 45 заходів, якими охоплено навчанням 3472 фахівців.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Національного тижня безбар’єрності: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проведено практичний тренінг для працівників соціального захисту Дніпропетровської області «Надання першої домедичної допомоги»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https://www.facebook.com/DniproOIACMS/posts/pfbid02468wrK4dbkk5DmG8SthVHgvU3fJh5QsCfqZrcEmdiPdrwnDQwCDFpPhBukpjpWQ3l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проведено тренінги за тематикою створення доступного середовища та рівних можливостей для всіх громадян, підвищення обізнаності про рішення та реформи у контексті формування безбар’єрних просторів, сервісів та інформації, а також сприяння розвитку культури поваги та гідності: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https://www.facebook.com/share/p/1CPe2jTcU4/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https://www.facebook.com/photo/?fbid=1091543376354343&amp;set=a.467421542099866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https://www.facebook.com/share/p/1Cotv6a4zJ/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https://www.facebook.com/share/1bDQkK1Ayc/?mibextid=wwXIfr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https://www.facebook.com/share/p/1CU4n3Bfrh/?mibextid=wwXIfr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https://www.facebook.com/100049216221297/posts/1332187185098476/?app=fbl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Протягом 2025 року фахівцями пройдено: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онлайн-курси на навчальній платформі Академії НСЗУ з отриманням сертіфікату “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Спочатку людина. Онлайн-курс про безбар'єрність у закладах охорони здоров'я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”, “Комунікація з людьми, які зазнали травм внаслідок війни”, “Перший контакт з людиною, яка втратила зір”, “Як повідомити пацієнту про важкий діагноз”, “Комплексна медична допомога жінкам з інвалідністю: сексуальне та репродуктивне здоров’я”;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освітнє навчання на платформі Дія.Освіта з отриманням сертифікатів “Берзбар’єрна грамотність” та “Гендерна рівність та соціальна інклюзія в комунікаціях”;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риденний тренінг на тему: “Безбар’єрність у дії: інклюзія, захист, стійкість”, який відбувся в м. Дніпро в межах проєкту “Захист, охорона здоров’я та інклюзія вразливого населення у Дніпропетровській, Донецькій та Запорізькій областях” з отриманням сертифікатів 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https://www.facebook.com/share/p/1DBP7UjsuU/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“Фізична активність - інструмент для збереження ментального здоров’я”;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ренінг “Профілактика професійного вигорання медиків, які супроводжують вагітних та батьків з новонародженими дітьми” -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https://www.facebook.com/groups/1436173146949121/permalink/1668758240357276/?app=fb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блок-тренінг з психологічної підтримки осіб з інвалідністю та маломобільних груп населення за участю психологів благодійного фонду «premiere Urgence Internationale» -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https://www.facebook.com/share/p/1CRMaA7ZNe/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мастер клас “Етична та інклюзивна комунікація в медичній практиці”.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share/1bDQkK1Ayc/?mibextid=wwXIfr" TargetMode="External"/><Relationship Id="rId10" Type="http://schemas.openxmlformats.org/officeDocument/2006/relationships/hyperlink" Target="https://www.facebook.com/share/p/1Cotv6a4zJ/" TargetMode="External"/><Relationship Id="rId13" Type="http://schemas.openxmlformats.org/officeDocument/2006/relationships/hyperlink" Target="https://www.facebook.com/share/p/1DBP7UjsuU/" TargetMode="External"/><Relationship Id="rId12" Type="http://schemas.openxmlformats.org/officeDocument/2006/relationships/hyperlink" Target="https://www.facebook.com/share/p/1CU4n3Bfrh/?mibextid=wwXIf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photo/?fbid=1091543376354343&amp;set=a.467421542099866&amp;locale=ru_RU" TargetMode="External"/><Relationship Id="rId15" Type="http://schemas.openxmlformats.org/officeDocument/2006/relationships/hyperlink" Target="https://www.facebook.com/share/p/1CRMaA7ZNe/" TargetMode="External"/><Relationship Id="rId14" Type="http://schemas.openxmlformats.org/officeDocument/2006/relationships/hyperlink" Target="https://www.facebook.com/groups/1436173146949121/permalink/1668758240357276/?app=fb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DniproOIACMS/posts/pfbid02468wrK4dbkk5DmG8SthVHgvU3fJh5QsCfqZrcEmdiPdrwnDQwCDFpPhBukpjpWQ3l" TargetMode="External"/><Relationship Id="rId8" Type="http://schemas.openxmlformats.org/officeDocument/2006/relationships/hyperlink" Target="https://www.facebook.com/share/p/1CPe2jTcU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aTkkST7/KRh4Uw/XmBgIQQb4w==">CgMxLjA4AHIhMVJlektJQjhVRXNUak5ueXBRbFI5d1Z2Y3ZGMDhHZWJV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