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37" w:rsidRPr="00FE1882" w:rsidRDefault="00CF3437" w:rsidP="00D92AB0">
      <w:pPr>
        <w:spacing w:after="0"/>
        <w:ind w:firstLine="567"/>
        <w:jc w:val="center"/>
        <w:rPr>
          <w:rFonts w:ascii="Times New Roman" w:hAnsi="Times New Roman"/>
          <w:sz w:val="28"/>
          <w:szCs w:val="28"/>
          <w:lang w:val="uk-UA"/>
        </w:rPr>
      </w:pPr>
      <w:r w:rsidRPr="00FE1882">
        <w:rPr>
          <w:rFonts w:ascii="Times New Roman" w:hAnsi="Times New Roman"/>
          <w:sz w:val="28"/>
          <w:szCs w:val="28"/>
          <w:lang w:val="uk-UA"/>
        </w:rPr>
        <w:t>ІНФОРМАЦІЯ</w:t>
      </w:r>
    </w:p>
    <w:p w:rsidR="00CF3437" w:rsidRPr="00FE1882" w:rsidRDefault="00CF3437" w:rsidP="0002364C">
      <w:pPr>
        <w:spacing w:after="0"/>
        <w:jc w:val="center"/>
        <w:rPr>
          <w:rFonts w:ascii="Times New Roman" w:hAnsi="Times New Roman"/>
          <w:sz w:val="28"/>
          <w:szCs w:val="28"/>
          <w:lang w:val="uk-UA"/>
        </w:rPr>
      </w:pPr>
      <w:r w:rsidRPr="00FE1882">
        <w:rPr>
          <w:rFonts w:ascii="Times New Roman" w:hAnsi="Times New Roman"/>
          <w:sz w:val="28"/>
          <w:szCs w:val="28"/>
          <w:lang w:val="uk-UA"/>
        </w:rPr>
        <w:t>щодо виконання</w:t>
      </w:r>
      <w:r>
        <w:rPr>
          <w:rFonts w:ascii="Times New Roman" w:hAnsi="Times New Roman"/>
          <w:sz w:val="28"/>
          <w:szCs w:val="28"/>
          <w:lang w:val="uk-UA"/>
        </w:rPr>
        <w:t xml:space="preserve"> у </w:t>
      </w:r>
      <w:r w:rsidRPr="00FE1882">
        <w:rPr>
          <w:rFonts w:ascii="Times New Roman" w:hAnsi="Times New Roman"/>
          <w:sz w:val="28"/>
          <w:szCs w:val="28"/>
          <w:lang w:val="uk-UA"/>
        </w:rPr>
        <w:t>202</w:t>
      </w:r>
      <w:r>
        <w:rPr>
          <w:rFonts w:ascii="Times New Roman" w:hAnsi="Times New Roman"/>
          <w:sz w:val="28"/>
          <w:szCs w:val="28"/>
          <w:lang w:val="uk-UA"/>
        </w:rPr>
        <w:t>6 році</w:t>
      </w:r>
      <w:r w:rsidRPr="00FE1882">
        <w:rPr>
          <w:rFonts w:ascii="Times New Roman" w:hAnsi="Times New Roman"/>
          <w:sz w:val="28"/>
          <w:szCs w:val="28"/>
          <w:lang w:val="uk-UA"/>
        </w:rPr>
        <w:t xml:space="preserve"> заходу</w:t>
      </w:r>
      <w:r>
        <w:rPr>
          <w:rFonts w:ascii="Times New Roman" w:hAnsi="Times New Roman"/>
          <w:sz w:val="28"/>
          <w:szCs w:val="28"/>
          <w:lang w:val="uk-UA"/>
        </w:rPr>
        <w:t xml:space="preserve"> 3</w:t>
      </w:r>
      <w:r w:rsidRPr="00FE1882">
        <w:rPr>
          <w:rFonts w:ascii="Times New Roman" w:hAnsi="Times New Roman"/>
          <w:sz w:val="28"/>
          <w:szCs w:val="28"/>
          <w:lang w:val="uk-UA"/>
        </w:rPr>
        <w:t xml:space="preserve"> завдання 39 Плану заходів</w:t>
      </w:r>
    </w:p>
    <w:p w:rsidR="00CF3437" w:rsidRPr="00AE3546" w:rsidRDefault="00CF3437" w:rsidP="00D92AB0">
      <w:pPr>
        <w:spacing w:after="0"/>
        <w:ind w:firstLine="567"/>
        <w:jc w:val="center"/>
        <w:rPr>
          <w:rFonts w:ascii="Times New Roman" w:hAnsi="Times New Roman"/>
          <w:sz w:val="28"/>
          <w:szCs w:val="28"/>
          <w:lang w:val="uk-UA"/>
        </w:rPr>
      </w:pPr>
      <w:r w:rsidRPr="00FE1882">
        <w:rPr>
          <w:rFonts w:ascii="Times New Roman" w:hAnsi="Times New Roman"/>
          <w:sz w:val="28"/>
          <w:szCs w:val="28"/>
          <w:lang w:val="uk-UA"/>
        </w:rPr>
        <w:t>на 2025 – 2026 роки 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від 25.03.2025</w:t>
      </w:r>
      <w:r w:rsidRPr="00AE3546">
        <w:rPr>
          <w:rFonts w:ascii="Times New Roman" w:hAnsi="Times New Roman"/>
          <w:sz w:val="28"/>
          <w:szCs w:val="28"/>
          <w:lang w:val="uk-UA"/>
        </w:rPr>
        <w:t xml:space="preserve"> № 374-р </w:t>
      </w:r>
    </w:p>
    <w:p w:rsidR="00CF3437" w:rsidRDefault="00CF3437" w:rsidP="005D2E6E">
      <w:pPr>
        <w:spacing w:after="0"/>
        <w:ind w:firstLine="567"/>
        <w:jc w:val="center"/>
        <w:rPr>
          <w:rFonts w:ascii="Times New Roman" w:hAnsi="Times New Roman"/>
          <w:sz w:val="28"/>
          <w:szCs w:val="28"/>
          <w:lang w:val="uk-UA"/>
        </w:rPr>
      </w:pPr>
    </w:p>
    <w:p w:rsidR="00CF3437" w:rsidRPr="00BB7975" w:rsidRDefault="00CF3437" w:rsidP="00BB7975">
      <w:pPr>
        <w:spacing w:after="0"/>
        <w:ind w:firstLine="567"/>
        <w:jc w:val="both"/>
        <w:rPr>
          <w:rFonts w:ascii="Times New Roman" w:hAnsi="Times New Roman"/>
          <w:i/>
          <w:sz w:val="28"/>
          <w:szCs w:val="28"/>
          <w:lang w:val="uk-UA"/>
        </w:rPr>
      </w:pPr>
      <w:r w:rsidRPr="00BB7975">
        <w:rPr>
          <w:rFonts w:ascii="Times New Roman" w:hAnsi="Times New Roman"/>
          <w:i/>
          <w:sz w:val="28"/>
          <w:szCs w:val="28"/>
          <w:lang w:val="uk-UA"/>
        </w:rPr>
        <w:t>Завдання 3 захід 39</w:t>
      </w:r>
      <w:r>
        <w:rPr>
          <w:rFonts w:ascii="Times New Roman" w:hAnsi="Times New Roman"/>
          <w:i/>
          <w:sz w:val="28"/>
          <w:szCs w:val="28"/>
          <w:lang w:val="uk-UA"/>
        </w:rPr>
        <w:t>:</w:t>
      </w:r>
      <w:r w:rsidRPr="00BB7975">
        <w:rPr>
          <w:rFonts w:ascii="Times New Roman" w:hAnsi="Times New Roman"/>
          <w:i/>
          <w:sz w:val="28"/>
          <w:szCs w:val="28"/>
          <w:lang w:val="uk-UA"/>
        </w:rPr>
        <w:t xml:space="preserve"> проведення навчання  працівників закладів соціальної інфраструктури.</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Протягом 2026 року Дніпропетровським обласним центром соціальних служб забезпечено системне проведення навчальних заходів для працівників соціальної сфери, спрямованих на підвищення їх професійної компетентності, розвиток сучасних соціальних практик та посилення якості надання соціальних послуг.</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У 2026 році проведено такі навчальні заходи:</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3 навчальні заходи для 53 осіб з питань надання соціальних послуг з догляду без здійснення підприємницької діяльності;</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захід для 25 осіб щодо організації соціального супроводу сімейних форм виховання, у тому числі в яких виховуються діти з інвалідністю;</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вебінар для 800 осіб з питань психосоціальної підтримки в громадах під час криз і надзвичайних ситуацій;</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вебінар для 152 осіб з питань адаптації дитини у новій сім’ї та психологічних аспектів роботи фахівців соціальної сфери;</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захід для 104 осіб з питань професійної стійкості та інноваційних технологій соціальної роботи в умовах кризових викликів;</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захід для 26 осіб щодо партнерства з громадськими організаціями у сфері соціальних послуг та розвитку сімейних форм виховання;</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захід для 15 осіб з питань розвитку соціальних послуг підтриманого проживання;</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захід для 69 осіб з питань наставництва як форми підтримки та розвитку дітей;</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1 навчальний захід для прийомних сімей та дитячих будинків сімейного типу, які виховують дітей з інвалідністю, у якому взяли участь 17 осіб.</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Крім того, проведення навчальних заходів у 2026 році сприяло формуванню сучасних професійних компетентностей фахівців соціальної сфери, зокрема в частині цифрової взаємодії, кризового реагування та інклюзивного підходу в наданні соціальних послуг.</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Реалізація заходу забезпечує:</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підвищення якості та доступності соціальних послуг;</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впровадження інноваційних підходів у соціальній роботі;</w:t>
      </w:r>
    </w:p>
    <w:p w:rsidR="00CF3437" w:rsidRPr="00A15B14"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посилення спроможності територіальних громад;</w:t>
      </w:r>
    </w:p>
    <w:p w:rsidR="00CF3437"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розвиток безбар’єрного та людиноцентричного середовища.</w:t>
      </w:r>
    </w:p>
    <w:p w:rsidR="00CF3437" w:rsidRPr="00A15B14" w:rsidRDefault="00CF3437" w:rsidP="00A15B14">
      <w:pPr>
        <w:spacing w:after="0"/>
        <w:ind w:firstLine="709"/>
        <w:jc w:val="both"/>
        <w:rPr>
          <w:rFonts w:ascii="Times New Roman" w:hAnsi="Times New Roman"/>
          <w:sz w:val="28"/>
          <w:szCs w:val="28"/>
          <w:lang w:val="uk-UA"/>
        </w:rPr>
      </w:pPr>
      <w:r>
        <w:rPr>
          <w:rFonts w:ascii="Times New Roman" w:hAnsi="Times New Roman"/>
          <w:sz w:val="28"/>
          <w:szCs w:val="28"/>
          <w:lang w:val="uk-UA"/>
        </w:rPr>
        <w:t>Крім того, п</w:t>
      </w:r>
      <w:bookmarkStart w:id="0" w:name="_GoBack"/>
      <w:bookmarkEnd w:id="0"/>
      <w:r w:rsidRPr="002C267B">
        <w:rPr>
          <w:rFonts w:ascii="Times New Roman" w:hAnsi="Times New Roman"/>
          <w:sz w:val="28"/>
          <w:szCs w:val="28"/>
          <w:lang w:val="uk-UA"/>
        </w:rPr>
        <w:t>остійне проведення  інформаційно-просвітницької кампанії “Україна без бар’єрів”: Міністерство Цифрової трансформації України Система «Дія» Базовий курс. «Безбар’єрна грамотність» (педагоги, працівники закладів освіти, батьки) проходження тестів та отримання сертифікатів. Підвищення курсів кваліфікації педагогічних працівників з підтримки дітей з ООП.</w:t>
      </w:r>
    </w:p>
    <w:p w:rsidR="00CF3437" w:rsidRPr="00BB7975" w:rsidRDefault="00CF3437" w:rsidP="00A15B14">
      <w:pPr>
        <w:spacing w:after="0"/>
        <w:ind w:firstLine="709"/>
        <w:jc w:val="both"/>
        <w:rPr>
          <w:rFonts w:ascii="Times New Roman" w:hAnsi="Times New Roman"/>
          <w:sz w:val="28"/>
          <w:szCs w:val="28"/>
          <w:lang w:val="uk-UA"/>
        </w:rPr>
      </w:pPr>
      <w:r w:rsidRPr="00A15B14">
        <w:rPr>
          <w:rFonts w:ascii="Times New Roman" w:hAnsi="Times New Roman"/>
          <w:sz w:val="28"/>
          <w:szCs w:val="28"/>
          <w:lang w:val="uk-UA"/>
        </w:rPr>
        <w:t>Таким чином, навчання працівників закладів соціальної інфраструктури є важливим елементом реалізації державної політики безбар’єрності та підвищення ефективності системи соціального захисту населення.</w:t>
      </w:r>
    </w:p>
    <w:sectPr w:rsidR="00CF3437" w:rsidRPr="00BB7975" w:rsidSect="006C39F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FE2"/>
    <w:rsid w:val="00005954"/>
    <w:rsid w:val="0002364C"/>
    <w:rsid w:val="000737EC"/>
    <w:rsid w:val="00092213"/>
    <w:rsid w:val="000C38D3"/>
    <w:rsid w:val="002C267B"/>
    <w:rsid w:val="00320735"/>
    <w:rsid w:val="00325931"/>
    <w:rsid w:val="0047673F"/>
    <w:rsid w:val="00477584"/>
    <w:rsid w:val="005243A7"/>
    <w:rsid w:val="005411CD"/>
    <w:rsid w:val="005D2E6E"/>
    <w:rsid w:val="005E1630"/>
    <w:rsid w:val="00681676"/>
    <w:rsid w:val="006B6261"/>
    <w:rsid w:val="006C39F3"/>
    <w:rsid w:val="00793A6B"/>
    <w:rsid w:val="007B42BE"/>
    <w:rsid w:val="007C0A3C"/>
    <w:rsid w:val="00862FE2"/>
    <w:rsid w:val="00A15B14"/>
    <w:rsid w:val="00AB028A"/>
    <w:rsid w:val="00AE3546"/>
    <w:rsid w:val="00BB7975"/>
    <w:rsid w:val="00CF3437"/>
    <w:rsid w:val="00D92AB0"/>
    <w:rsid w:val="00DB1A9C"/>
    <w:rsid w:val="00FE18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9F3"/>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430</Words>
  <Characters>2455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12_Каркач</cp:lastModifiedBy>
  <cp:revision>5</cp:revision>
  <dcterms:created xsi:type="dcterms:W3CDTF">2026-04-10T08:24:00Z</dcterms:created>
  <dcterms:modified xsi:type="dcterms:W3CDTF">2026-04-10T13:59:00Z</dcterms:modified>
</cp:coreProperties>
</file>