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14 завдання 67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І квартал 2026 року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виконання заходу 14 завдання 67 Плану заходів (забезпечення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ускладнень) протягом І кварталу 2026 року проведено навчальні заходи за темами: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догляд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за пацієнтами в умовах стаціонарних відділень;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базові навички догляду за маломобільними пацієнтами;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профілактика застійної пневмонії та дихальна гімнастика;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особливості ведення паліативних та маломобільних пацієнтів;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профілактика ВІЛ-інфекції;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особливості спілкування медперсоналу з пацієнтом, якому поставили невиліковний діагноз;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толерантність і доступність послуг - це норма;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практичні поради по догляду за малобільними пацієнтами;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роведен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практичні тренінги та майстер-класи: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ефективний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догляд за пацієнтами;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езбар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єр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комунікація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та  недопущення мовних стереотипів при роботі з пацієнтами;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безбар’єрність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у роботі медичного персоналу;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едико-соціальна допомога вдома: основи людяного догляд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міна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постільної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та натільної білизни лежачим хворим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рофілактика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пролежнів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у маломобільних пацієнтів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закладах охорони здоров’я також проведено практичні заняття з медичним персоналом щодо догляду за хворими, профілактики пролежнів та безпечного переміщення хворих, у тому числі щодо використання стандартних операційних процедур медичною сестрою (фельдшером, акушеркою) з догляду за лежачими пацієнтами.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Загалом 1361 сестра/брат медичні закладів охорони здоров’я Дніпропетровської області взяли участь в них.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IffQ/PP+z47OpK9GJo6hk6jhQ==">CgMxLjA4AHIhMTBjcEdMa0UyVzFGQkQtMEJ0LVN3RFBubmRVWS16cmJ0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