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BF" w:rsidRDefault="002C3EBF" w:rsidP="008D7A55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A0624">
        <w:rPr>
          <w:rFonts w:ascii="Times New Roman" w:eastAsia="Calibri" w:hAnsi="Times New Roman" w:cs="Times New Roman"/>
          <w:sz w:val="24"/>
          <w:szCs w:val="24"/>
        </w:rPr>
        <w:t>ЗАТВЕРДЖУЮ</w:t>
      </w:r>
    </w:p>
    <w:p w:rsidR="002C3EBF" w:rsidRPr="00B745BD" w:rsidRDefault="002C3EBF" w:rsidP="008D7A55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C3EBF" w:rsidRPr="00AC6812" w:rsidRDefault="002C3EBF" w:rsidP="008D7A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23" w:right="1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Тимчасово виконуючий обов’язки голови</w:t>
      </w:r>
    </w:p>
    <w:p w:rsidR="002C3EBF" w:rsidRPr="00AC6812" w:rsidRDefault="002C3EBF" w:rsidP="008D7A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23" w:right="1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Дніпропетровської</w:t>
      </w:r>
      <w:r w:rsidRPr="00AC68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обласної державної</w:t>
      </w:r>
    </w:p>
    <w:p w:rsidR="002C3EBF" w:rsidRPr="00AC6812" w:rsidRDefault="002C3EBF" w:rsidP="008D7A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23" w:right="1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адміністрації – начальник</w:t>
      </w:r>
      <w:r w:rsidR="00DB7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обласної</w:t>
      </w:r>
    </w:p>
    <w:p w:rsidR="002C3EBF" w:rsidRPr="00AC6812" w:rsidRDefault="002C3EBF" w:rsidP="008D7A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23" w:right="1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військової адміністрації</w:t>
      </w:r>
    </w:p>
    <w:p w:rsidR="002C3EBF" w:rsidRPr="00AC6812" w:rsidRDefault="002C3EBF" w:rsidP="008D7A55">
      <w:pPr>
        <w:spacing w:after="0" w:line="240" w:lineRule="auto"/>
        <w:ind w:left="9923"/>
        <w:rPr>
          <w:rFonts w:ascii="Times New Roman" w:eastAsia="Calibri" w:hAnsi="Times New Roman" w:cs="Times New Roman"/>
          <w:i/>
          <w:sz w:val="24"/>
          <w:szCs w:val="24"/>
        </w:rPr>
      </w:pPr>
    </w:p>
    <w:p w:rsidR="002C3EBF" w:rsidRPr="00AC6812" w:rsidRDefault="002C3EBF" w:rsidP="008D7A55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812">
        <w:rPr>
          <w:rFonts w:ascii="Times New Roman" w:eastAsia="Calibri" w:hAnsi="Times New Roman" w:cs="Times New Roman"/>
          <w:sz w:val="24"/>
          <w:szCs w:val="24"/>
        </w:rPr>
        <w:t xml:space="preserve">_____________  </w:t>
      </w:r>
      <w:r w:rsidRPr="00AC681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В.В. ГАЙВАНЕНКО</w:t>
      </w:r>
    </w:p>
    <w:p w:rsidR="002C3EBF" w:rsidRPr="00AC6812" w:rsidRDefault="002C3EBF" w:rsidP="008D7A55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6812">
        <w:rPr>
          <w:rFonts w:ascii="Times New Roman" w:eastAsia="Calibri" w:hAnsi="Times New Roman" w:cs="Times New Roman"/>
          <w:i/>
          <w:sz w:val="24"/>
          <w:szCs w:val="24"/>
        </w:rPr>
        <w:t xml:space="preserve">         (підпис)        (ініціали, прізвище)</w:t>
      </w:r>
    </w:p>
    <w:p w:rsidR="002C3EBF" w:rsidRPr="00AC6812" w:rsidRDefault="002C3EBF" w:rsidP="008D7A55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A01" w:rsidRPr="00AC6812" w:rsidRDefault="002C3EBF" w:rsidP="008D7A55">
      <w:pPr>
        <w:spacing w:after="0" w:line="240" w:lineRule="auto"/>
        <w:ind w:left="99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812">
        <w:rPr>
          <w:rFonts w:ascii="Times New Roman" w:eastAsia="Calibri" w:hAnsi="Times New Roman" w:cs="Times New Roman"/>
          <w:sz w:val="24"/>
          <w:szCs w:val="24"/>
        </w:rPr>
        <w:t>«____» ______________ 2025 року</w:t>
      </w:r>
    </w:p>
    <w:p w:rsidR="002C3EBF" w:rsidRPr="001A0624" w:rsidRDefault="002C3EBF" w:rsidP="002C3EBF">
      <w:pPr>
        <w:spacing w:after="0" w:line="240" w:lineRule="auto"/>
        <w:ind w:left="96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1"/>
        <w:tblW w:w="4937" w:type="pct"/>
        <w:tblInd w:w="108" w:type="dxa"/>
        <w:tblLook w:val="0000" w:firstRow="0" w:lastRow="0" w:firstColumn="0" w:lastColumn="0" w:noHBand="0" w:noVBand="0"/>
      </w:tblPr>
      <w:tblGrid>
        <w:gridCol w:w="14601"/>
      </w:tblGrid>
      <w:tr w:rsidR="00F07A01" w:rsidRPr="001A0624" w:rsidTr="008D7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A01" w:rsidRPr="002C3EBF" w:rsidRDefault="00F07A01" w:rsidP="008D6C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C3EBF" w:rsidRPr="00EE1A3A" w:rsidRDefault="002C3EBF" w:rsidP="008D7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uk-UA"/>
              </w:rPr>
            </w:pPr>
            <w:r w:rsidRPr="00EE1A3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Дніпропетровська обласна державна адміністрація (обласна військова адміністрація)</w:t>
            </w:r>
          </w:p>
          <w:p w:rsidR="002C3EBF" w:rsidRPr="00EE1A3A" w:rsidRDefault="002C3EBF" w:rsidP="008D7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uk-UA"/>
              </w:rPr>
            </w:pPr>
            <w:r w:rsidRPr="00EE1A3A">
              <w:rPr>
                <w:rFonts w:ascii="Times New Roman" w:eastAsia="Calibri" w:hAnsi="Times New Roman" w:cs="Times New Roman"/>
                <w:i/>
                <w:sz w:val="22"/>
                <w:szCs w:val="22"/>
                <w:lang w:val="uk-UA"/>
              </w:rPr>
              <w:t>(назва державного органу)</w:t>
            </w:r>
          </w:p>
          <w:p w:rsidR="002C3EBF" w:rsidRPr="00EE1A3A" w:rsidRDefault="002C3EBF" w:rsidP="008D7A55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F07A01" w:rsidRPr="001A0624" w:rsidRDefault="00F07A01" w:rsidP="008D7A55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F07A01" w:rsidRPr="001A0624" w:rsidRDefault="00F07A01" w:rsidP="008D7A55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F07A01" w:rsidRPr="001A0624" w:rsidRDefault="00F07A01" w:rsidP="008D7A55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ЗВЕДЕНИЙ ПЛАН</w:t>
            </w:r>
            <w:r w:rsidRPr="001A06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ДІЯЛЬНОСТІ </w:t>
            </w:r>
            <w:proofErr w:type="gramStart"/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З</w:t>
            </w:r>
            <w:proofErr w:type="gramEnd"/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ВНУТРІШНЬОГО АУДИТУ</w:t>
            </w:r>
          </w:p>
          <w:p w:rsidR="00F07A01" w:rsidRPr="001A0624" w:rsidRDefault="00F07A01" w:rsidP="008D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uk-UA"/>
              </w:rPr>
            </w:pPr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 202</w:t>
            </w:r>
            <w:r w:rsidR="002C3E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6</w:t>
            </w:r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– 202</w:t>
            </w:r>
            <w:r w:rsidR="002C3EB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</w:t>
            </w:r>
            <w:r w:rsidRPr="001A062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роки</w:t>
            </w:r>
          </w:p>
          <w:p w:rsidR="00F07A01" w:rsidRPr="001A0624" w:rsidRDefault="00F07A01" w:rsidP="008D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F07A01" w:rsidRDefault="00F07A01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C3EBF" w:rsidRPr="001A0624" w:rsidRDefault="002C3EBF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7A01" w:rsidRPr="001A0624" w:rsidRDefault="00F07A01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7A01" w:rsidRDefault="00F07A01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3296" w:rsidRDefault="00D63296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3296" w:rsidRDefault="00D63296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3296" w:rsidRPr="001A0624" w:rsidRDefault="00D63296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7A01" w:rsidRPr="001A0624" w:rsidRDefault="00F07A01" w:rsidP="008D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7A01" w:rsidRPr="001A0624" w:rsidRDefault="00F07A01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07A01" w:rsidRPr="001A0624" w:rsidRDefault="00F07A01" w:rsidP="00F07A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A0624"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601"/>
      </w:tblGrid>
      <w:tr w:rsidR="00F07A01" w:rsidRPr="001A0624" w:rsidTr="008D7A55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1A0624" w:rsidRDefault="00F07A01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6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1A062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 w:type="page"/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І. МЕТА (МІСІЯ) ВНУТРІШНЬОГО АУДИТУ</w:t>
            </w:r>
          </w:p>
        </w:tc>
      </w:tr>
    </w:tbl>
    <w:p w:rsidR="002C3EBF" w:rsidRPr="00C2637A" w:rsidRDefault="002C3EBF" w:rsidP="002C3EBF">
      <w:pPr>
        <w:autoSpaceDE w:val="0"/>
        <w:autoSpaceDN w:val="0"/>
        <w:adjustRightInd w:val="0"/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Times New Roman" w:hAnsi="Times New Roman" w:cs="Times New Roman"/>
          <w:sz w:val="24"/>
          <w:szCs w:val="24"/>
        </w:rPr>
        <w:t xml:space="preserve">Метою внутрішнього аудиту – сприяти </w:t>
      </w:r>
      <w:r w:rsidR="00860B05" w:rsidRPr="002216DD">
        <w:rPr>
          <w:rFonts w:ascii="Times New Roman" w:eastAsia="Times New Roman" w:hAnsi="Times New Roman" w:cs="Times New Roman"/>
          <w:i/>
          <w:sz w:val="24"/>
          <w:szCs w:val="24"/>
        </w:rPr>
        <w:t xml:space="preserve">Дніпропетровській обласній державній адміністрації (обласній військовій адміністрації) </w:t>
      </w:r>
      <w:r w:rsidR="002216D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  <w:r w:rsidR="00860B05" w:rsidRPr="002216DD">
        <w:rPr>
          <w:rFonts w:ascii="Times New Roman" w:eastAsia="Times New Roman" w:hAnsi="Times New Roman" w:cs="Times New Roman"/>
          <w:i/>
          <w:sz w:val="24"/>
          <w:szCs w:val="24"/>
        </w:rPr>
        <w:t>(далі – обласна державна адміністрація)</w:t>
      </w:r>
      <w:r w:rsidR="006E6D12">
        <w:rPr>
          <w:rFonts w:ascii="Times New Roman" w:eastAsia="Times New Roman" w:hAnsi="Times New Roman" w:cs="Times New Roman"/>
          <w:i/>
          <w:sz w:val="24"/>
          <w:szCs w:val="24"/>
        </w:rPr>
        <w:t xml:space="preserve"> її </w:t>
      </w:r>
      <w:r w:rsidR="004C63ED">
        <w:rPr>
          <w:rFonts w:ascii="Times New Roman" w:eastAsia="Times New Roman" w:hAnsi="Times New Roman" w:cs="Times New Roman"/>
          <w:i/>
          <w:sz w:val="24"/>
          <w:szCs w:val="24"/>
        </w:rPr>
        <w:t xml:space="preserve">структурним підрозділам, </w:t>
      </w:r>
      <w:r w:rsidR="006C046D" w:rsidRPr="006C046D">
        <w:rPr>
          <w:rFonts w:ascii="Times New Roman" w:eastAsia="Times New Roman" w:hAnsi="Times New Roman" w:cs="Times New Roman"/>
          <w:i/>
          <w:sz w:val="24"/>
          <w:szCs w:val="24"/>
        </w:rPr>
        <w:t>районн</w:t>
      </w:r>
      <w:r w:rsidR="006C046D">
        <w:rPr>
          <w:rFonts w:ascii="Times New Roman" w:eastAsia="Times New Roman" w:hAnsi="Times New Roman" w:cs="Times New Roman"/>
          <w:i/>
          <w:sz w:val="24"/>
          <w:szCs w:val="24"/>
        </w:rPr>
        <w:t>им</w:t>
      </w:r>
      <w:r w:rsidR="006C046D" w:rsidRPr="006C046D">
        <w:rPr>
          <w:rFonts w:ascii="Times New Roman" w:eastAsia="Times New Roman" w:hAnsi="Times New Roman" w:cs="Times New Roman"/>
          <w:i/>
          <w:sz w:val="24"/>
          <w:szCs w:val="24"/>
        </w:rPr>
        <w:t xml:space="preserve"> державн</w:t>
      </w:r>
      <w:r w:rsidR="006C046D">
        <w:rPr>
          <w:rFonts w:ascii="Times New Roman" w:eastAsia="Times New Roman" w:hAnsi="Times New Roman" w:cs="Times New Roman"/>
          <w:i/>
          <w:sz w:val="24"/>
          <w:szCs w:val="24"/>
        </w:rPr>
        <w:t>им</w:t>
      </w:r>
      <w:r w:rsidR="006C046D" w:rsidRPr="006C046D">
        <w:rPr>
          <w:rFonts w:ascii="Times New Roman" w:eastAsia="Times New Roman" w:hAnsi="Times New Roman" w:cs="Times New Roman"/>
          <w:i/>
          <w:sz w:val="24"/>
          <w:szCs w:val="24"/>
        </w:rPr>
        <w:t xml:space="preserve"> адміністраці</w:t>
      </w:r>
      <w:r w:rsidR="006C046D">
        <w:rPr>
          <w:rFonts w:ascii="Times New Roman" w:eastAsia="Times New Roman" w:hAnsi="Times New Roman" w:cs="Times New Roman"/>
          <w:i/>
          <w:sz w:val="24"/>
          <w:szCs w:val="24"/>
        </w:rPr>
        <w:t>ям</w:t>
      </w:r>
      <w:r w:rsidR="004C63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26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покращенню ефективності та результативності </w:t>
      </w:r>
      <w:r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діяльності </w:t>
      </w:r>
      <w:r w:rsidR="00860B05" w:rsidRPr="004B7F1C">
        <w:rPr>
          <w:rFonts w:ascii="Times New Roman" w:eastAsia="Times New Roman" w:hAnsi="Times New Roman" w:cs="Times New Roman"/>
          <w:sz w:val="24"/>
          <w:szCs w:val="24"/>
        </w:rPr>
        <w:t>обласної державної адміністрації</w:t>
      </w:r>
      <w:r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B7F1C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>її апарату, структурних підрозділів</w:t>
      </w:r>
      <w:r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B7F1C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районних державних адміністрацій,</w:t>
      </w:r>
      <w:r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підприємств, установ та організацій, що належать до сфери </w:t>
      </w:r>
      <w:r w:rsidR="004B7F1C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r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управління,</w:t>
      </w:r>
      <w:r w:rsidRPr="00C26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застосування систематичного, послідовного підходу до оцінки та вдосконалення організації та функціонування системи управління, внутрішнього контролю, управління ризиками.</w:t>
      </w:r>
    </w:p>
    <w:p w:rsidR="002C3EBF" w:rsidRPr="00C2637A" w:rsidRDefault="002C3EBF" w:rsidP="002C3EBF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Times New Roman" w:hAnsi="Times New Roman" w:cs="Times New Roman"/>
          <w:sz w:val="24"/>
          <w:szCs w:val="24"/>
        </w:rPr>
        <w:t>За результатами здійснення аудиторських досліджень (оцінки з надання впевненості) та аудиторських консультацій (із застосуванням систематичного, послідовного та ризик-орієнтованого підходу до оцінки об’єкта внутрішнього аудиту)</w:t>
      </w:r>
      <w:r w:rsidRPr="00136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06" w:rsidRPr="002216DD">
        <w:rPr>
          <w:rFonts w:ascii="Times New Roman" w:eastAsia="Times New Roman" w:hAnsi="Times New Roman" w:cs="Times New Roman"/>
          <w:i/>
          <w:sz w:val="24"/>
          <w:szCs w:val="24"/>
        </w:rPr>
        <w:t xml:space="preserve">відділ внутрішнього аудиту обласної державної адміністрації, головний спеціаліст з питань внутрішнього аудиту Департаменту капітального будівництва обласної державної адміністрації, відділ внутрішнього аудиту Нікопольської районної державної адміністрації Дніпропетровської області, сектор з питань внутрішнього аудиту </w:t>
      </w:r>
      <w:proofErr w:type="spellStart"/>
      <w:r w:rsidR="00136B06" w:rsidRPr="002216DD">
        <w:rPr>
          <w:rFonts w:ascii="Times New Roman" w:eastAsia="Times New Roman" w:hAnsi="Times New Roman" w:cs="Times New Roman"/>
          <w:i/>
          <w:sz w:val="24"/>
          <w:szCs w:val="24"/>
        </w:rPr>
        <w:t>Кам’янської</w:t>
      </w:r>
      <w:proofErr w:type="spellEnd"/>
      <w:r w:rsidR="00136B06" w:rsidRPr="002216D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районної державної адміністрації Дніпропетровської області, головний спеціаліст з внутрішнього аудиту апарату Криворізької районної державної адміністрації Дніпропетровської області </w:t>
      </w:r>
      <w:r w:rsidR="00806808" w:rsidRPr="002216DD">
        <w:rPr>
          <w:rFonts w:ascii="Times New Roman" w:eastAsia="Times New Roman" w:hAnsi="Times New Roman" w:cs="Times New Roman"/>
          <w:i/>
          <w:sz w:val="24"/>
          <w:szCs w:val="24"/>
        </w:rPr>
        <w:t>(далі - підрозділ внутрішнього аудиту</w:t>
      </w:r>
      <w:r w:rsidR="00E066B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066B1" w:rsidRPr="00E066B1">
        <w:rPr>
          <w:rFonts w:ascii="Times New Roman" w:hAnsi="Times New Roman" w:cs="Times New Roman"/>
          <w:sz w:val="28"/>
          <w:szCs w:val="28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>посадов</w:t>
      </w:r>
      <w:r w:rsidR="00E066B1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особ</w:t>
      </w:r>
      <w:r w:rsidR="00E066B1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>, на яку покладено повноваження щодо здійснення</w:t>
      </w:r>
      <w:r w:rsid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>внутрішнього аудиту</w:t>
      </w:r>
      <w:r w:rsidR="00806808" w:rsidRPr="002216D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806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B06">
        <w:rPr>
          <w:rFonts w:ascii="Times New Roman" w:eastAsia="Times New Roman" w:hAnsi="Times New Roman" w:cs="Times New Roman"/>
          <w:sz w:val="24"/>
          <w:szCs w:val="24"/>
        </w:rPr>
        <w:t xml:space="preserve">надає </w:t>
      </w:r>
      <w:r w:rsidR="00136B06" w:rsidRPr="00136B06">
        <w:rPr>
          <w:rFonts w:ascii="Times New Roman" w:eastAsia="Times New Roman" w:hAnsi="Times New Roman" w:cs="Times New Roman"/>
          <w:sz w:val="24"/>
          <w:szCs w:val="24"/>
        </w:rPr>
        <w:t xml:space="preserve">голові обласної державної адміністрації, керівнику структурного підрозділу обласної державної адміністрації, голові районної державної адміністрації </w:t>
      </w:r>
      <w:r w:rsidRPr="00C2637A">
        <w:rPr>
          <w:rFonts w:ascii="Times New Roman" w:eastAsia="Times New Roman" w:hAnsi="Times New Roman" w:cs="Times New Roman"/>
          <w:sz w:val="24"/>
          <w:szCs w:val="24"/>
        </w:rPr>
        <w:t xml:space="preserve">незалежні та об’єктивні аудиторські висновки та рекомендацій щодо: </w:t>
      </w:r>
    </w:p>
    <w:p w:rsidR="002C3EBF" w:rsidRPr="00C2637A" w:rsidRDefault="002C3EBF" w:rsidP="002C3EBF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Times New Roman" w:hAnsi="Times New Roman" w:cs="Times New Roman"/>
          <w:sz w:val="24"/>
          <w:szCs w:val="24"/>
        </w:rPr>
        <w:t>підвищення ефективності та результативності функціонування системи внутрішнього контролю, управління ризиками, удосконалення системи управління;</w:t>
      </w:r>
    </w:p>
    <w:p w:rsidR="002C3EBF" w:rsidRPr="00C2637A" w:rsidRDefault="002C3EBF" w:rsidP="002C3EBF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1E">
        <w:rPr>
          <w:rFonts w:ascii="Times New Roman" w:eastAsia="Times New Roman" w:hAnsi="Times New Roman" w:cs="Times New Roman"/>
          <w:sz w:val="24"/>
          <w:szCs w:val="24"/>
        </w:rPr>
        <w:t xml:space="preserve">поліпшення політик та процедур, які забезпечують запобігання фактам незаконного, неефективного та нерезультативного використання фінансових та матеріальних ресурсів, виникненню помилок чи інших недоліків у діяльності </w:t>
      </w:r>
      <w:r w:rsidR="00CC6A1E" w:rsidRPr="00CC6A1E">
        <w:rPr>
          <w:rFonts w:ascii="Times New Roman" w:eastAsia="Times New Roman" w:hAnsi="Times New Roman" w:cs="Times New Roman"/>
          <w:sz w:val="24"/>
          <w:szCs w:val="24"/>
        </w:rPr>
        <w:t>обласної державної адміністрації</w:t>
      </w:r>
      <w:r w:rsidR="00CC6A1E" w:rsidRPr="00CC6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її </w:t>
      </w:r>
      <w:r w:rsidR="002216DD" w:rsidRPr="00CC6A1E">
        <w:rPr>
          <w:rFonts w:ascii="Times New Roman" w:hAnsi="Times New Roman" w:cs="Times New Roman"/>
          <w:sz w:val="24"/>
          <w:szCs w:val="24"/>
          <w:shd w:val="clear" w:color="auto" w:fill="FFFFFF"/>
        </w:rPr>
        <w:t>апарат</w:t>
      </w:r>
      <w:r w:rsidR="007B1D6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C6A1E" w:rsidRPr="00CC6A1E">
        <w:rPr>
          <w:rFonts w:ascii="Times New Roman" w:hAnsi="Times New Roman" w:cs="Times New Roman"/>
          <w:sz w:val="24"/>
          <w:szCs w:val="24"/>
          <w:shd w:val="clear" w:color="auto" w:fill="FFFFFF"/>
        </w:rPr>
        <w:t>, структурних підрозділ</w:t>
      </w:r>
      <w:r w:rsidR="002216DD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CC6A1E" w:rsidRPr="00CC6A1E">
        <w:rPr>
          <w:rFonts w:ascii="Times New Roman" w:hAnsi="Times New Roman" w:cs="Times New Roman"/>
          <w:sz w:val="24"/>
          <w:szCs w:val="24"/>
          <w:shd w:val="clear" w:color="auto" w:fill="FFFFFF"/>
        </w:rPr>
        <w:t>, районних державних адміністраці</w:t>
      </w:r>
      <w:r w:rsidR="002216DD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r w:rsidR="00CC6A1E" w:rsidRPr="00CC6A1E">
        <w:rPr>
          <w:rFonts w:ascii="Times New Roman" w:hAnsi="Times New Roman" w:cs="Times New Roman"/>
          <w:sz w:val="24"/>
          <w:szCs w:val="24"/>
          <w:shd w:val="clear" w:color="auto" w:fill="FFFFFF"/>
        </w:rPr>
        <w:t>, підприємств, установ та організаці</w:t>
      </w:r>
      <w:r w:rsidR="007B1D6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CC6A1E" w:rsidRPr="00CC6A1E">
        <w:rPr>
          <w:rFonts w:ascii="Times New Roman" w:hAnsi="Times New Roman" w:cs="Times New Roman"/>
          <w:sz w:val="24"/>
          <w:szCs w:val="24"/>
          <w:shd w:val="clear" w:color="auto" w:fill="FFFFFF"/>
        </w:rPr>
        <w:t>, що належать до сфери їх управління</w:t>
      </w:r>
      <w:r w:rsidRPr="00CC6A1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26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EBF" w:rsidRPr="00C2637A" w:rsidRDefault="002C3EBF" w:rsidP="002C3EBF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Times New Roman" w:hAnsi="Times New Roman" w:cs="Times New Roman"/>
          <w:sz w:val="24"/>
          <w:szCs w:val="24"/>
        </w:rPr>
        <w:t>посиленн</w:t>
      </w:r>
      <w:r w:rsidR="00E3748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2637A">
        <w:rPr>
          <w:rFonts w:ascii="Times New Roman" w:eastAsia="Times New Roman" w:hAnsi="Times New Roman" w:cs="Times New Roman"/>
          <w:sz w:val="24"/>
          <w:szCs w:val="24"/>
        </w:rPr>
        <w:t xml:space="preserve"> підзвітності та підвищенн</w:t>
      </w:r>
      <w:r w:rsidR="00E3748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C2637A">
        <w:rPr>
          <w:rFonts w:ascii="Times New Roman" w:eastAsia="Times New Roman" w:hAnsi="Times New Roman" w:cs="Times New Roman"/>
          <w:sz w:val="24"/>
          <w:szCs w:val="24"/>
        </w:rPr>
        <w:t xml:space="preserve">ефективності діяльності </w:t>
      </w:r>
      <w:r w:rsidR="00136B06" w:rsidRPr="004B7F1C">
        <w:rPr>
          <w:rFonts w:ascii="Times New Roman" w:eastAsia="Times New Roman" w:hAnsi="Times New Roman" w:cs="Times New Roman"/>
          <w:sz w:val="24"/>
          <w:szCs w:val="24"/>
        </w:rPr>
        <w:t>обласної державної адміністрації</w:t>
      </w:r>
      <w:r w:rsidR="00136B06" w:rsidRPr="00136B06">
        <w:rPr>
          <w:rFonts w:ascii="Times New Roman" w:eastAsia="Times New Roman" w:hAnsi="Times New Roman" w:cs="Times New Roman"/>
          <w:sz w:val="24"/>
          <w:szCs w:val="24"/>
        </w:rPr>
        <w:t>, її апарату, структурних підрозділів, районних державних адміністрацій, підприємств, установ та організацій, що належать до сфери їх управління</w:t>
      </w:r>
      <w:r w:rsidRPr="00136B0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26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EBF" w:rsidRPr="00C2637A" w:rsidRDefault="002C3EBF" w:rsidP="002C3EBF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Times New Roman" w:hAnsi="Times New Roman" w:cs="Times New Roman"/>
          <w:sz w:val="24"/>
          <w:szCs w:val="24"/>
        </w:rPr>
        <w:t>розвитку доброчесності через поступовий розвиток культури етичної поведінки, заснованої на дотриманні етичних цінностей.</w:t>
      </w:r>
    </w:p>
    <w:p w:rsidR="00F07A01" w:rsidRPr="001A0624" w:rsidRDefault="002C3EBF" w:rsidP="002C3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37A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601"/>
      </w:tblGrid>
      <w:tr w:rsidR="00F07A01" w:rsidRPr="001A0624" w:rsidTr="008D7A55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1A0624" w:rsidRDefault="00F07A01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ІІ. ПІДХОДИ ДО ПЛАНУВАННЯ ДІЯЛЬНОСТІ З ВНУТРІШНЬОГО АУДИТУ</w:t>
            </w:r>
          </w:p>
        </w:tc>
      </w:tr>
    </w:tbl>
    <w:p w:rsidR="002C3EBF" w:rsidRPr="00C2637A" w:rsidRDefault="002C3EBF" w:rsidP="002C3EBF">
      <w:pPr>
        <w:autoSpaceDE w:val="0"/>
        <w:autoSpaceDN w:val="0"/>
        <w:adjustRightInd w:val="0"/>
        <w:spacing w:before="120"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37A">
        <w:rPr>
          <w:rFonts w:ascii="Times New Roman" w:eastAsia="Calibri" w:hAnsi="Times New Roman" w:cs="Times New Roman"/>
          <w:sz w:val="24"/>
          <w:szCs w:val="24"/>
        </w:rPr>
        <w:t>Під час планування діяльності з внутрішнього аудиту враховано визначені законодавством ключові підходи, а саме:</w:t>
      </w:r>
    </w:p>
    <w:p w:rsidR="002C3EBF" w:rsidRPr="00C2637A" w:rsidRDefault="002C3EBF" w:rsidP="002C3EBF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визначення пріоритетів та результатів діяльності </w:t>
      </w:r>
      <w:r w:rsidR="00806808" w:rsidRPr="00136B06">
        <w:rPr>
          <w:rFonts w:ascii="Times New Roman" w:eastAsia="Times New Roman" w:hAnsi="Times New Roman" w:cs="Times New Roman"/>
          <w:sz w:val="24"/>
          <w:szCs w:val="24"/>
        </w:rPr>
        <w:t>підрозділ</w:t>
      </w:r>
      <w:r w:rsidR="00EE6DCF">
        <w:rPr>
          <w:rFonts w:ascii="Times New Roman" w:eastAsia="Times New Roman" w:hAnsi="Times New Roman" w:cs="Times New Roman"/>
          <w:sz w:val="24"/>
          <w:szCs w:val="24"/>
        </w:rPr>
        <w:t>ів</w:t>
      </w:r>
      <w:r w:rsidR="00806808" w:rsidRPr="00136B06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аудиту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посадової особи, на яку покладено повноваження щодо здійснення внутрішнього аудиту</w:t>
      </w:r>
      <w:r w:rsidR="00806808" w:rsidRPr="00E06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на наступні три роки, що враховують стратегію (пріоритети) та цілі діяльності </w:t>
      </w:r>
      <w:r w:rsidR="00806808" w:rsidRPr="004B7F1C">
        <w:rPr>
          <w:rFonts w:ascii="Times New Roman" w:eastAsia="Times New Roman" w:hAnsi="Times New Roman" w:cs="Times New Roman"/>
          <w:sz w:val="24"/>
          <w:szCs w:val="24"/>
        </w:rPr>
        <w:t>обласної державної адміністрації</w:t>
      </w:r>
      <w:r w:rsidR="00806808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її апарату, структурних підрозділів, районних державних адміністрацій, підприємств, установ та організацій, що належать до сфери їх </w:t>
      </w:r>
      <w:r w:rsidR="00806808" w:rsidRPr="00806808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управління</w:t>
      </w:r>
      <w:r w:rsidRPr="00806808">
        <w:rPr>
          <w:rFonts w:ascii="Times New Roman" w:eastAsia="Calibri" w:hAnsi="Times New Roman" w:cs="Times New Roman"/>
          <w:sz w:val="24"/>
          <w:szCs w:val="24"/>
        </w:rPr>
        <w:t>, щорічне</w:t>
      </w:r>
      <w:r w:rsidRPr="00654986">
        <w:rPr>
          <w:rFonts w:ascii="Times New Roman" w:eastAsia="Calibri" w:hAnsi="Times New Roman" w:cs="Times New Roman"/>
          <w:sz w:val="24"/>
          <w:szCs w:val="24"/>
        </w:rPr>
        <w:t xml:space="preserve"> визначення</w:t>
      </w:r>
      <w:r w:rsidR="008068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808" w:rsidRPr="00136B06">
        <w:rPr>
          <w:rFonts w:ascii="Times New Roman" w:eastAsia="Times New Roman" w:hAnsi="Times New Roman" w:cs="Times New Roman"/>
          <w:sz w:val="24"/>
          <w:szCs w:val="24"/>
        </w:rPr>
        <w:t>підрозділ</w:t>
      </w:r>
      <w:r w:rsidR="00806808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806808" w:rsidRPr="00136B06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аудиту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посадово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, на яку покладено повноваження щодо здійснення внутрішнього аудиту</w:t>
      </w:r>
      <w:r w:rsidR="00B33A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6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986">
        <w:rPr>
          <w:rFonts w:ascii="Times New Roman" w:eastAsia="Calibri" w:hAnsi="Times New Roman" w:cs="Times New Roman"/>
          <w:sz w:val="24"/>
          <w:szCs w:val="24"/>
        </w:rPr>
        <w:t>аудиторських завдань з проведення аудиторських досліджень та аудиторських консультувань</w:t>
      </w:r>
      <w:r w:rsidRPr="0065498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54986">
        <w:rPr>
          <w:rFonts w:ascii="Times New Roman" w:eastAsia="Calibri" w:hAnsi="Times New Roman" w:cs="Times New Roman"/>
          <w:sz w:val="24"/>
          <w:szCs w:val="24"/>
        </w:rPr>
        <w:t>на наступний календарний рік з урахуванням визначених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 пріоритетів та результатів діяльності </w:t>
      </w:r>
      <w:r w:rsidR="002216DD" w:rsidRPr="00136B06">
        <w:rPr>
          <w:rFonts w:ascii="Times New Roman" w:eastAsia="Times New Roman" w:hAnsi="Times New Roman" w:cs="Times New Roman"/>
          <w:sz w:val="24"/>
          <w:szCs w:val="24"/>
        </w:rPr>
        <w:t>підрозділ</w:t>
      </w:r>
      <w:r w:rsidR="002216DD">
        <w:rPr>
          <w:rFonts w:ascii="Times New Roman" w:eastAsia="Times New Roman" w:hAnsi="Times New Roman" w:cs="Times New Roman"/>
          <w:sz w:val="24"/>
          <w:szCs w:val="24"/>
        </w:rPr>
        <w:t>ів</w:t>
      </w:r>
      <w:r w:rsidR="002216DD" w:rsidRPr="00136B06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аудиту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посадово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ї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, на яку покладено повноваження</w:t>
      </w:r>
      <w:r w:rsidR="00B33A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 xml:space="preserve"> щодо здійснення внутрішнього аудиту</w:t>
      </w:r>
      <w:r w:rsidR="00221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37A">
        <w:rPr>
          <w:rFonts w:ascii="Times New Roman" w:eastAsia="Calibri" w:hAnsi="Times New Roman" w:cs="Times New Roman"/>
          <w:sz w:val="24"/>
          <w:szCs w:val="24"/>
        </w:rPr>
        <w:t>на відповідний трирічний період;</w:t>
      </w:r>
    </w:p>
    <w:p w:rsidR="002C3EBF" w:rsidRPr="00C2637A" w:rsidRDefault="002C3EBF" w:rsidP="002C3EBF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з’ясування та врахування думки </w:t>
      </w:r>
      <w:r w:rsidR="00806808" w:rsidRPr="00806808">
        <w:rPr>
          <w:rFonts w:ascii="Times New Roman" w:eastAsia="Calibri" w:hAnsi="Times New Roman" w:cs="Times New Roman"/>
          <w:sz w:val="24"/>
          <w:szCs w:val="24"/>
        </w:rPr>
        <w:t>голови обласної державної адміністрації, керівника структурного підрозділу обласної державної адміністрації, голови районної державної адміністрації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 та проведення консультацій з відповідальними за діяльність особами щодо проблемних питань та ризиків, які впливають на досягнення цілей діяльності </w:t>
      </w:r>
      <w:r w:rsidR="00806808" w:rsidRPr="00806808">
        <w:rPr>
          <w:rFonts w:ascii="Times New Roman" w:eastAsia="Calibri" w:hAnsi="Times New Roman" w:cs="Times New Roman"/>
          <w:sz w:val="24"/>
          <w:szCs w:val="24"/>
        </w:rPr>
        <w:t>обласної державної адміністрації, її апарату, структурних підрозділів, районних державних адміністрацій, підприємств, установ та організацій, що належать до сфери їх управління</w:t>
      </w:r>
      <w:r w:rsidRPr="0080680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C3EBF" w:rsidRPr="00806808" w:rsidRDefault="002C3EBF" w:rsidP="002C3EBF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визначення </w:t>
      </w:r>
      <w:r w:rsidR="002216DD" w:rsidRPr="00136B06">
        <w:rPr>
          <w:rFonts w:ascii="Times New Roman" w:eastAsia="Times New Roman" w:hAnsi="Times New Roman" w:cs="Times New Roman"/>
          <w:sz w:val="24"/>
          <w:szCs w:val="24"/>
        </w:rPr>
        <w:t>підрозділ</w:t>
      </w:r>
      <w:r w:rsidR="002216DD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2216DD" w:rsidRPr="00136B06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аудиту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посадово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, на яку покладено повноваження щодо здійснення внутрішнього аудиту</w:t>
      </w:r>
      <w:r w:rsidR="00B33A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1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808">
        <w:rPr>
          <w:rFonts w:ascii="Times New Roman" w:eastAsia="Times New Roman" w:hAnsi="Times New Roman" w:cs="Times New Roman"/>
          <w:sz w:val="24"/>
          <w:szCs w:val="24"/>
        </w:rPr>
        <w:t>простору внутрішнього аудиту, його формалізація та документування шляхом ведення бази даних щодо об’єктів внутрішнього аудиту, щорічн</w:t>
      </w:r>
      <w:r w:rsidR="00B33A54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06808">
        <w:rPr>
          <w:rFonts w:ascii="Times New Roman" w:eastAsia="Times New Roman" w:hAnsi="Times New Roman" w:cs="Times New Roman"/>
          <w:sz w:val="24"/>
          <w:szCs w:val="24"/>
        </w:rPr>
        <w:t xml:space="preserve"> проведення підрозділ</w:t>
      </w:r>
      <w:r w:rsidR="00806808" w:rsidRPr="00806808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806808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аудиту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посадово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, на яку покладено повноваження щодо здійснення внутрішнього аудиту</w:t>
      </w:r>
      <w:r w:rsidR="00B33A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6808">
        <w:rPr>
          <w:rFonts w:ascii="Times New Roman" w:eastAsia="Times New Roman" w:hAnsi="Times New Roman" w:cs="Times New Roman"/>
          <w:sz w:val="24"/>
          <w:szCs w:val="24"/>
        </w:rPr>
        <w:t xml:space="preserve"> оцінки ризиків або її актуалізація з метою визначення ризикових сфер та пріоритетних об’єктів внутрішнього аудиту, які будуть досліджуватися впродовж наступних трьох років;</w:t>
      </w:r>
      <w:r w:rsidR="00654986" w:rsidRPr="00806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EBF" w:rsidRPr="00654986" w:rsidRDefault="002C3EBF" w:rsidP="002C3EBF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резервування робочого часу не більше </w:t>
      </w:r>
      <w:r w:rsidR="00183B26" w:rsidRPr="00183B26">
        <w:rPr>
          <w:rFonts w:ascii="Times New Roman" w:eastAsia="Calibri" w:hAnsi="Times New Roman" w:cs="Times New Roman"/>
          <w:sz w:val="24"/>
          <w:szCs w:val="24"/>
        </w:rPr>
        <w:t>25%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 на здійснення позапланових аудиторських досліджень (оцінки з надання впевненості) та аудиторських консультувань, які проводяться за </w:t>
      </w:r>
      <w:r w:rsidRPr="00806808">
        <w:rPr>
          <w:rFonts w:ascii="Times New Roman" w:eastAsia="Calibri" w:hAnsi="Times New Roman" w:cs="Times New Roman"/>
          <w:sz w:val="24"/>
          <w:szCs w:val="24"/>
        </w:rPr>
        <w:t>рішенням</w:t>
      </w:r>
      <w:r w:rsidRPr="006549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986" w:rsidRPr="00136B06">
        <w:rPr>
          <w:rFonts w:ascii="Times New Roman" w:eastAsia="Times New Roman" w:hAnsi="Times New Roman" w:cs="Times New Roman"/>
          <w:sz w:val="24"/>
          <w:szCs w:val="24"/>
        </w:rPr>
        <w:t>голов</w:t>
      </w:r>
      <w:r w:rsidR="0065498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4986" w:rsidRPr="00136B06">
        <w:rPr>
          <w:rFonts w:ascii="Times New Roman" w:eastAsia="Times New Roman" w:hAnsi="Times New Roman" w:cs="Times New Roman"/>
          <w:sz w:val="24"/>
          <w:szCs w:val="24"/>
        </w:rPr>
        <w:t xml:space="preserve"> обласної державної адміністрації, керівник</w:t>
      </w:r>
      <w:r w:rsidR="0065498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54986" w:rsidRPr="00136B06">
        <w:rPr>
          <w:rFonts w:ascii="Times New Roman" w:eastAsia="Times New Roman" w:hAnsi="Times New Roman" w:cs="Times New Roman"/>
          <w:sz w:val="24"/>
          <w:szCs w:val="24"/>
        </w:rPr>
        <w:t xml:space="preserve"> структурного підрозділу обласної державної адміністрації, голов</w:t>
      </w:r>
      <w:r w:rsidR="0065498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4986" w:rsidRPr="00136B06">
        <w:rPr>
          <w:rFonts w:ascii="Times New Roman" w:eastAsia="Times New Roman" w:hAnsi="Times New Roman" w:cs="Times New Roman"/>
          <w:sz w:val="24"/>
          <w:szCs w:val="24"/>
        </w:rPr>
        <w:t xml:space="preserve"> районної державної адміністрації</w:t>
      </w:r>
      <w:r w:rsidRPr="006549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3EBF" w:rsidRPr="00C2637A" w:rsidRDefault="002C3EBF" w:rsidP="002C3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забезпечення перегляду </w:t>
      </w:r>
      <w:r w:rsidR="002216DD" w:rsidRPr="00136B06">
        <w:rPr>
          <w:rFonts w:ascii="Times New Roman" w:eastAsia="Times New Roman" w:hAnsi="Times New Roman" w:cs="Times New Roman"/>
          <w:sz w:val="24"/>
          <w:szCs w:val="24"/>
        </w:rPr>
        <w:t>підрозділ</w:t>
      </w:r>
      <w:r w:rsidR="002216DD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2216DD" w:rsidRPr="00136B06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аудиту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6B1" w:rsidRPr="00E066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посадово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E066B1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E066B1" w:rsidRPr="00E066B1">
        <w:rPr>
          <w:rFonts w:ascii="Times New Roman" w:eastAsia="Times New Roman" w:hAnsi="Times New Roman" w:cs="Times New Roman"/>
          <w:sz w:val="24"/>
          <w:szCs w:val="24"/>
        </w:rPr>
        <w:t>, на яку покладено повноваження щодо здійснення внутрішнього аудиту</w:t>
      </w:r>
      <w:r w:rsidR="00F420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1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та внесення змін до </w:t>
      </w:r>
      <w:r w:rsidR="004C63ED">
        <w:rPr>
          <w:rFonts w:ascii="Times New Roman" w:eastAsia="Calibri" w:hAnsi="Times New Roman" w:cs="Times New Roman"/>
          <w:sz w:val="24"/>
          <w:szCs w:val="24"/>
        </w:rPr>
        <w:t>плану (</w:t>
      </w:r>
      <w:r w:rsidRPr="00C2637A">
        <w:rPr>
          <w:rFonts w:ascii="Times New Roman" w:eastAsia="Calibri" w:hAnsi="Times New Roman" w:cs="Times New Roman"/>
          <w:sz w:val="24"/>
          <w:szCs w:val="24"/>
        </w:rPr>
        <w:t>зведеного плану</w:t>
      </w:r>
      <w:r w:rsidR="004C63ED">
        <w:rPr>
          <w:rFonts w:ascii="Times New Roman" w:eastAsia="Calibri" w:hAnsi="Times New Roman" w:cs="Times New Roman"/>
          <w:sz w:val="24"/>
          <w:szCs w:val="24"/>
        </w:rPr>
        <w:t>)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 діяльності з внутрішнього аудиту у разі зміни стратегії (пріоритетів) та цілей діяльності </w:t>
      </w:r>
      <w:r w:rsidR="002216DD" w:rsidRPr="004B7F1C">
        <w:rPr>
          <w:rFonts w:ascii="Times New Roman" w:eastAsia="Times New Roman" w:hAnsi="Times New Roman" w:cs="Times New Roman"/>
          <w:sz w:val="24"/>
          <w:szCs w:val="24"/>
        </w:rPr>
        <w:t>обласної державної адміністрації</w:t>
      </w:r>
      <w:r w:rsidR="002216DD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>, структурн</w:t>
      </w:r>
      <w:r w:rsidR="006C046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2216DD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підрозділ</w:t>
      </w:r>
      <w:r w:rsidR="006C046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31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14AB" w:rsidRPr="00136B06">
        <w:rPr>
          <w:rFonts w:ascii="Times New Roman" w:eastAsia="Times New Roman" w:hAnsi="Times New Roman" w:cs="Times New Roman"/>
          <w:sz w:val="24"/>
          <w:szCs w:val="24"/>
        </w:rPr>
        <w:t>обласної державної адміністрації</w:t>
      </w:r>
      <w:r w:rsidR="002216DD" w:rsidRPr="004B7F1C">
        <w:rPr>
          <w:rFonts w:ascii="Times New Roman" w:hAnsi="Times New Roman" w:cs="Times New Roman"/>
          <w:sz w:val="24"/>
          <w:szCs w:val="24"/>
          <w:shd w:val="clear" w:color="auto" w:fill="FFFFFF"/>
        </w:rPr>
        <w:t>, р</w:t>
      </w:r>
      <w:r w:rsidR="00F314AB">
        <w:rPr>
          <w:rFonts w:ascii="Times New Roman" w:hAnsi="Times New Roman" w:cs="Times New Roman"/>
          <w:sz w:val="24"/>
          <w:szCs w:val="24"/>
          <w:shd w:val="clear" w:color="auto" w:fill="FFFFFF"/>
        </w:rPr>
        <w:t>айонних державних адміністрацій</w:t>
      </w:r>
      <w:r w:rsidRPr="00C2637A">
        <w:rPr>
          <w:rFonts w:ascii="Times New Roman" w:eastAsia="Calibri" w:hAnsi="Times New Roman" w:cs="Times New Roman"/>
          <w:sz w:val="24"/>
          <w:szCs w:val="24"/>
        </w:rPr>
        <w:t xml:space="preserve"> за результатами проведення оцінки ризиків або її актуалізації, а також з інших обґрунтованих підстав.</w:t>
      </w:r>
    </w:p>
    <w:p w:rsidR="00F07A01" w:rsidRPr="001A0624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62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601"/>
      </w:tblGrid>
      <w:tr w:rsidR="00F07A01" w:rsidRPr="001A0624" w:rsidTr="008D7A55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1A0624" w:rsidRDefault="00F07A01" w:rsidP="008D7A55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ІІІ. СТРАТЕГІЧНІ ЦІЛІ, ЗАВДАННЯ ТА КЛЮЧОВІ ПОКАЗНИКИ РЕЗУЛЬТАТИВНОСТІ, ЕФЕКТИВНОСТІ ТА ЯКОСТІ ВНУТРІШНЬОГО АУДИТУ НА 202</w:t>
            </w:r>
            <w:r w:rsidR="002C3E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– 202</w:t>
            </w:r>
            <w:r w:rsidR="002C3E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РОКИ</w:t>
            </w:r>
          </w:p>
        </w:tc>
      </w:tr>
    </w:tbl>
    <w:p w:rsidR="00A97741" w:rsidRPr="001A0624" w:rsidRDefault="00A97741" w:rsidP="008D7A55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24">
        <w:rPr>
          <w:rFonts w:ascii="Times New Roman" w:eastAsia="Times New Roman" w:hAnsi="Times New Roman" w:cs="Times New Roman"/>
          <w:b/>
          <w:sz w:val="24"/>
          <w:szCs w:val="24"/>
        </w:rPr>
        <w:t>3.1. Стратегічні цілі внутрішнього аудиту, які сприяють досягненню визначеної мети (місії) внутрішнього аудиту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89"/>
        <w:gridCol w:w="2298"/>
      </w:tblGrid>
      <w:tr w:rsidR="00A97741" w:rsidRPr="001A0624" w:rsidTr="002C3EBF">
        <w:trPr>
          <w:trHeight w:val="455"/>
        </w:trPr>
        <w:tc>
          <w:tcPr>
            <w:tcW w:w="4223" w:type="pct"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062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Стратегічні цілі внутрішнього аудиту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062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виконання</w:t>
            </w:r>
          </w:p>
        </w:tc>
      </w:tr>
      <w:tr w:rsidR="00A97741" w:rsidRPr="001A0624" w:rsidTr="002C3EBF">
        <w:trPr>
          <w:trHeight w:val="363"/>
        </w:trPr>
        <w:tc>
          <w:tcPr>
            <w:tcW w:w="4223" w:type="pct"/>
            <w:shd w:val="clear" w:color="auto" w:fill="auto"/>
          </w:tcPr>
          <w:p w:rsidR="00A97741" w:rsidRPr="000E470D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C3EBF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результативність внутрішнього аудиту (здійснення аудиторських завдань з проведення аудиторських досліджень (оцінки з надання впевненості) та аудиторських консультувань).</w:t>
            </w:r>
          </w:p>
        </w:tc>
        <w:tc>
          <w:tcPr>
            <w:tcW w:w="777" w:type="pct"/>
            <w:shd w:val="clear" w:color="auto" w:fill="auto"/>
          </w:tcPr>
          <w:p w:rsidR="00A97741" w:rsidRPr="000E470D" w:rsidRDefault="002C3EBF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2028 роки</w:t>
            </w:r>
          </w:p>
        </w:tc>
      </w:tr>
      <w:tr w:rsidR="00A97741" w:rsidRPr="001A0624" w:rsidTr="002C3EBF">
        <w:trPr>
          <w:trHeight w:val="363"/>
        </w:trPr>
        <w:tc>
          <w:tcPr>
            <w:tcW w:w="4223" w:type="pct"/>
            <w:shd w:val="clear" w:color="auto" w:fill="auto"/>
          </w:tcPr>
          <w:p w:rsidR="00A97741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C3EBF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 внутрішнього аудиту (здійснення аудиторських завдань з проведення аудиторських досліджень (оцінки з надання впевненості) та аудиторських консультувань) належним чином сприйняті вищим керівництвом та керівниками структурних підрозділів установи, надані аудиторські рекомендації є корисними та впроваджені у практичну діяльність установи.</w:t>
            </w:r>
          </w:p>
        </w:tc>
        <w:tc>
          <w:tcPr>
            <w:tcW w:w="777" w:type="pct"/>
            <w:shd w:val="clear" w:color="auto" w:fill="auto"/>
          </w:tcPr>
          <w:p w:rsidR="00A97741" w:rsidRPr="000E470D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741" w:rsidRPr="001A0624" w:rsidTr="002C3EBF">
        <w:trPr>
          <w:trHeight w:val="363"/>
        </w:trPr>
        <w:tc>
          <w:tcPr>
            <w:tcW w:w="4223" w:type="pct"/>
            <w:shd w:val="clear" w:color="auto" w:fill="auto"/>
          </w:tcPr>
          <w:p w:rsidR="00A97741" w:rsidRDefault="002C3EBF" w:rsidP="00CC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3. Забезпечено ефективність та якість роботи підрозділу внутрішнього аудиту</w:t>
            </w:r>
            <w:r w:rsidR="00CC1D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C1D2A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C1D2A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</w:t>
            </w:r>
            <w:r w:rsidR="00CC1D2A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="00CC1D2A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CC1D2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C1D2A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яку покладено повноваження щодо здійснення внутрішнього аудиту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pct"/>
            <w:shd w:val="clear" w:color="auto" w:fill="auto"/>
          </w:tcPr>
          <w:p w:rsidR="00A97741" w:rsidRPr="000E470D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EBF" w:rsidRPr="001A0624" w:rsidTr="002C3EBF">
        <w:trPr>
          <w:trHeight w:val="363"/>
        </w:trPr>
        <w:tc>
          <w:tcPr>
            <w:tcW w:w="4223" w:type="pct"/>
            <w:shd w:val="clear" w:color="auto" w:fill="auto"/>
          </w:tcPr>
          <w:p w:rsidR="002C3EBF" w:rsidRPr="00C2637A" w:rsidRDefault="002C3EBF" w:rsidP="00CC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4. Забезпечено професійний розвиток працівників підрозділу внутрішнього аудиту</w:t>
            </w:r>
            <w:r w:rsidR="00CC1D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C1D2A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C1D2A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</w:t>
            </w:r>
            <w:r w:rsidR="00CC1D2A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="00CC1D2A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CC1D2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C1D2A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яку покладено повноваження щодо здійснення внутрішнього аудиту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pct"/>
            <w:shd w:val="clear" w:color="auto" w:fill="auto"/>
          </w:tcPr>
          <w:p w:rsidR="002C3EBF" w:rsidRPr="000E470D" w:rsidRDefault="002C3EBF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7741" w:rsidRPr="001A0624" w:rsidRDefault="00A97741" w:rsidP="008D7A55">
      <w:pPr>
        <w:spacing w:before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0624">
        <w:rPr>
          <w:rFonts w:ascii="Times New Roman" w:eastAsia="Calibri" w:hAnsi="Times New Roman" w:cs="Times New Roman"/>
          <w:b/>
          <w:sz w:val="24"/>
          <w:szCs w:val="24"/>
        </w:rPr>
        <w:t>3.2. Завдання внутрішнього аудиту та ключові показники результативності, ефективності та якості внутрішнього аудиту, спрямовані на досягнення стратегічної цілі внутрішнього аудиту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9"/>
        <w:gridCol w:w="7399"/>
        <w:gridCol w:w="1065"/>
        <w:gridCol w:w="1065"/>
        <w:gridCol w:w="1059"/>
      </w:tblGrid>
      <w:tr w:rsidR="00A97741" w:rsidRPr="001A0624" w:rsidTr="007A57D7">
        <w:trPr>
          <w:cantSplit/>
          <w:trHeight w:val="821"/>
        </w:trPr>
        <w:tc>
          <w:tcPr>
            <w:tcW w:w="1420" w:type="pct"/>
            <w:vMerge w:val="restart"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062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Завдання внутрішнього аудиту</w:t>
            </w:r>
          </w:p>
        </w:tc>
        <w:tc>
          <w:tcPr>
            <w:tcW w:w="2502" w:type="pct"/>
            <w:vMerge w:val="restart"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062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Ключові показники результативності, ефективності та якості внутрішнього аудиту</w:t>
            </w:r>
          </w:p>
        </w:tc>
        <w:tc>
          <w:tcPr>
            <w:tcW w:w="1078" w:type="pct"/>
            <w:gridSpan w:val="3"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A062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виконання/Рівень виконання</w:t>
            </w:r>
          </w:p>
        </w:tc>
      </w:tr>
      <w:tr w:rsidR="00A97741" w:rsidRPr="001A0624" w:rsidTr="007A57D7">
        <w:trPr>
          <w:cantSplit/>
          <w:trHeight w:val="948"/>
        </w:trPr>
        <w:tc>
          <w:tcPr>
            <w:tcW w:w="1420" w:type="pct"/>
            <w:vMerge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502" w:type="pct"/>
            <w:vMerge/>
            <w:shd w:val="clear" w:color="auto" w:fill="auto"/>
            <w:vAlign w:val="center"/>
          </w:tcPr>
          <w:p w:rsidR="00A97741" w:rsidRPr="001A0624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textDirection w:val="btLr"/>
            <w:vAlign w:val="center"/>
          </w:tcPr>
          <w:p w:rsidR="00A97741" w:rsidRPr="0068648D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8648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</w:t>
            </w:r>
            <w:r w:rsidR="002C3EB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  <w:r w:rsidRPr="0068648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360" w:type="pct"/>
            <w:shd w:val="clear" w:color="auto" w:fill="auto"/>
            <w:textDirection w:val="btLr"/>
            <w:vAlign w:val="center"/>
          </w:tcPr>
          <w:p w:rsidR="00A97741" w:rsidRPr="0068648D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8648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</w:t>
            </w:r>
            <w:r w:rsidR="002C3EB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  <w:r w:rsidRPr="0068648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A97741" w:rsidRPr="0068648D" w:rsidRDefault="00A97741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8648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</w:t>
            </w:r>
            <w:r w:rsidR="002C3EB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  <w:r w:rsidRPr="0068648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рік</w:t>
            </w:r>
          </w:p>
        </w:tc>
      </w:tr>
      <w:tr w:rsidR="00A97741" w:rsidRPr="001A0624" w:rsidTr="007A57D7">
        <w:trPr>
          <w:trHeight w:val="203"/>
        </w:trPr>
        <w:tc>
          <w:tcPr>
            <w:tcW w:w="5000" w:type="pct"/>
            <w:gridSpan w:val="5"/>
            <w:shd w:val="clear" w:color="auto" w:fill="auto"/>
          </w:tcPr>
          <w:p w:rsidR="00A97741" w:rsidRPr="000E470D" w:rsidRDefault="00A97741" w:rsidP="008D7A5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внутрішнього аудиту 1</w:t>
            </w:r>
            <w:r w:rsidRPr="002C5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C3EBF" w:rsidRPr="00C26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Забезпечено результативність внутрішнього аудиту (здійснення аудиторських завдань з проведення аудиторських досліджень (оцінки з надання впевненості) та аудиторських консультувань)</w:t>
            </w:r>
          </w:p>
        </w:tc>
      </w:tr>
      <w:tr w:rsidR="00A97741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A97741" w:rsidRDefault="002C3EBF" w:rsidP="008D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здійснення аудиторських завдань з проведення аудиторських досліджень з оцінки ефективності, результативності та якості виконання завдань та функцій, визначених актами законодавства</w:t>
            </w:r>
          </w:p>
          <w:p w:rsidR="002C3EBF" w:rsidRPr="00300043" w:rsidRDefault="002C3EBF" w:rsidP="008D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A97741" w:rsidRPr="00300043" w:rsidRDefault="002C3EBF" w:rsidP="008D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Частка здійснених аудиторських завдань з проведення аудиторських досліджень з оцінки ефективності, результативності та якості виконання завдань та функцій, визначених актами законодавства, в загальній кількості здійснених внутрішніх аудитів за рік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досліджень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A97741" w:rsidRPr="00EE6DCF" w:rsidRDefault="0033170D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D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:rsidR="00A97741" w:rsidRPr="00EE6DCF" w:rsidRDefault="009262F3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A97741" w:rsidRPr="00EE6DCF" w:rsidRDefault="0033170D" w:rsidP="008D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D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7741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A97741" w:rsidRPr="00AC6812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здійснення аудиторських завдань з проведення аудиторських консультувань</w:t>
            </w:r>
          </w:p>
          <w:p w:rsidR="008D7A55" w:rsidRPr="00AC6812" w:rsidRDefault="008D7A55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2" w:type="pct"/>
            <w:shd w:val="clear" w:color="auto" w:fill="auto"/>
          </w:tcPr>
          <w:p w:rsidR="008D6C9A" w:rsidRPr="00AC6812" w:rsidRDefault="002C3EBF" w:rsidP="009A0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1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своєчасних та у повному обсязі здійснених аудиторських завдань з проведення аудиторських консультацій у загальній кількості визначених керівником установи (</w:t>
            </w:r>
            <w:r w:rsidRPr="00AC6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консультацій</w:t>
            </w:r>
            <w:r w:rsidRPr="00AC68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A97741" w:rsidRPr="00AC6812" w:rsidRDefault="00DB7C50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 w:rsidR="00A97741" w:rsidRPr="00AC6812" w:rsidRDefault="00237D61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A97741" w:rsidRPr="00AC6812" w:rsidRDefault="00237D61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3EBF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C3EBF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охоплення внутрішнім аудитом об’єктів внутрішнього аудиту з «дуже високим»/«високим» ступенем ризику</w:t>
            </w:r>
          </w:p>
          <w:p w:rsidR="002C3EBF" w:rsidRPr="00640AD9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2" w:type="pct"/>
            <w:shd w:val="clear" w:color="auto" w:fill="auto"/>
          </w:tcPr>
          <w:p w:rsidR="002C3EBF" w:rsidRPr="00C2637A" w:rsidRDefault="002C3EBF" w:rsidP="00E93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охоплення внутрішнім аудитом об’єктів внутрішнього аудиту з «дуже високим»/«високим» ступенем ризику від загальної кількості запланованих об’єктів внутрішнього аудиту на рік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об’єктів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не нижче 80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не нижче 80</w:t>
            </w:r>
          </w:p>
        </w:tc>
        <w:tc>
          <w:tcPr>
            <w:tcW w:w="358" w:type="pct"/>
            <w:shd w:val="clear" w:color="auto" w:fill="auto"/>
          </w:tcPr>
          <w:p w:rsidR="002C3EBF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не нижче 80</w:t>
            </w:r>
          </w:p>
        </w:tc>
      </w:tr>
      <w:tr w:rsidR="002C3EBF" w:rsidRPr="002C3EBF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C3EBF" w:rsidRPr="00C2637A" w:rsidRDefault="002C3EBF" w:rsidP="002C3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результативність впровадження рекомендацій, наданих за результатами здійснених аудиторських завдань з проведення аудиторських досліджень та аудиторських консультувань</w:t>
            </w:r>
          </w:p>
        </w:tc>
        <w:tc>
          <w:tcPr>
            <w:tcW w:w="2502" w:type="pct"/>
            <w:shd w:val="clear" w:color="auto" w:fill="auto"/>
          </w:tcPr>
          <w:p w:rsidR="002C3EBF" w:rsidRPr="00C2637A" w:rsidRDefault="002C3EBF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Досягнення рівня впроваджених рекомендацій (повністю або частково, без урахування рекомендацій, щодо яких не настав строк виконання) за результатами здійснених аудиторських завдань з проведення аудиторських досліджень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рекомендацій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до 95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до 95</w:t>
            </w:r>
          </w:p>
        </w:tc>
        <w:tc>
          <w:tcPr>
            <w:tcW w:w="358" w:type="pct"/>
            <w:shd w:val="clear" w:color="auto" w:fill="auto"/>
          </w:tcPr>
          <w:p w:rsidR="002C3EBF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до 95</w:t>
            </w:r>
          </w:p>
        </w:tc>
      </w:tr>
      <w:tr w:rsidR="002C3EBF" w:rsidRPr="002C3EBF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C3EBF" w:rsidRPr="00C2637A" w:rsidRDefault="002C3EBF" w:rsidP="002C3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2C3EBF" w:rsidRPr="00C2637A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аудиторських рекомендацій, за якими досягнуто результативність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рекомендацій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1D281F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1D281F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512D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2C3EBF" w:rsidRPr="00300043" w:rsidRDefault="001D281F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512D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741" w:rsidRPr="001A0624" w:rsidTr="007A57D7">
        <w:trPr>
          <w:trHeight w:val="203"/>
        </w:trPr>
        <w:tc>
          <w:tcPr>
            <w:tcW w:w="5000" w:type="pct"/>
            <w:gridSpan w:val="5"/>
            <w:shd w:val="clear" w:color="auto" w:fill="auto"/>
          </w:tcPr>
          <w:p w:rsidR="00A97741" w:rsidRPr="000E470D" w:rsidRDefault="00A97741" w:rsidP="008D6C9A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Стратегічна ціль внутрішнього аудиту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C5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C3EBF" w:rsidRPr="00C26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внутрішнього аудиту (здійснення аудиторських завдань з проведення аудиторських досліджень (оцінки з надання впевненості) та аудиторських консультувань) належним чином сприйняті вищим керівництвом та керівниками структурних підрозділів установи, надані аудиторські рекомендації є корисними та впроваджені у практичну діяльність установи</w:t>
            </w:r>
          </w:p>
        </w:tc>
      </w:tr>
      <w:tr w:rsidR="00A97741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A97741" w:rsidRPr="00300043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ефективну взаємодію з вищим керівництвом та керівниками структурних підрозділів установи під час здійснення аудиторських завдань з проведення аудиторських досліджень та аудиторських консультувань</w:t>
            </w:r>
          </w:p>
        </w:tc>
        <w:tc>
          <w:tcPr>
            <w:tcW w:w="2502" w:type="pct"/>
            <w:shd w:val="clear" w:color="auto" w:fill="auto"/>
          </w:tcPr>
          <w:p w:rsidR="00A97741" w:rsidRPr="00300043" w:rsidRDefault="002C3EBF" w:rsidP="008D7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за рік рейтингова оцінка, яка надана відповідальними за діяльність особами за результатами здійснених аудиторських завдань з проведення аудиторських досліджень та аудиторських консультувань</w:t>
            </w:r>
            <w:r w:rsidR="00FD7423" w:rsidRPr="00FD7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 </w:t>
            </w:r>
            <w:r w:rsidR="00FD7423" w:rsidRPr="00FD7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-ти бальною шкалою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A97741" w:rsidRPr="00300043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більше </w:t>
            </w:r>
            <w:r w:rsidR="00FD7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360" w:type="pct"/>
            <w:shd w:val="clear" w:color="auto" w:fill="auto"/>
          </w:tcPr>
          <w:p w:rsidR="00A97741" w:rsidRPr="00300043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більше </w:t>
            </w:r>
            <w:r w:rsidR="00FD7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358" w:type="pct"/>
            <w:shd w:val="clear" w:color="auto" w:fill="auto"/>
          </w:tcPr>
          <w:p w:rsidR="00A97741" w:rsidRPr="00300043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більше </w:t>
            </w:r>
            <w:r w:rsidR="00FD7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</w:tr>
      <w:tr w:rsidR="00A97741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A97741" w:rsidRPr="00FD7423" w:rsidRDefault="00A97741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2" w:type="pct"/>
            <w:shd w:val="clear" w:color="auto" w:fill="auto"/>
          </w:tcPr>
          <w:p w:rsidR="00A97741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відповідальних за діяльність осіб, які вважають, що їх постійно інформували про хід виконання аудиторського завдання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осіб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C3EBF" w:rsidRPr="00640AD9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</w:tcPr>
          <w:p w:rsidR="00A97741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0" w:type="pct"/>
            <w:shd w:val="clear" w:color="auto" w:fill="auto"/>
          </w:tcPr>
          <w:p w:rsidR="00A97741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8" w:type="pct"/>
            <w:shd w:val="clear" w:color="auto" w:fill="auto"/>
          </w:tcPr>
          <w:p w:rsidR="00A97741" w:rsidRPr="00300043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C3EBF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C3EBF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2C3EBF" w:rsidRPr="00640AD9" w:rsidRDefault="002C3EBF" w:rsidP="007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відповідальних за діяльність осіб, які задоволені якістю здійсненого аудиторського завдання з проведення аудиторського дослідження та аудиторського консультування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осіб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A1498A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2512D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 w:rsidR="002C3EBF" w:rsidRPr="00300043" w:rsidRDefault="00A1498A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2512D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2C3EBF" w:rsidRPr="00300043" w:rsidRDefault="00A1498A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2512D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3EBF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C3EBF" w:rsidRDefault="002C3EB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22512D" w:rsidRPr="00C2637A" w:rsidRDefault="002C3EBF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аудиторських рекомендацій, прийнятих керівником установи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рекомендацій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C3EBF" w:rsidRPr="00FD7423" w:rsidRDefault="00FD7423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:rsidR="002C3EBF" w:rsidRPr="00FD7423" w:rsidRDefault="00FD7423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2C3EBF" w:rsidRPr="00FD7423" w:rsidRDefault="00FD7423" w:rsidP="00225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2512D" w:rsidRPr="00300043" w:rsidTr="007A57D7">
        <w:trPr>
          <w:trHeight w:val="25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2512D" w:rsidRPr="00C2637A" w:rsidRDefault="0022512D" w:rsidP="008D6C9A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внутрішнього аудиту 3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26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Забезпечено ефективність та якість роботи підрозділу внутрішнього аудиту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здійснення запланованих аудиторських завдань з проведення аудиторських досліджень (оцінки з надання впевненості) та аудиторських консультувань, а також заходів з іншої діяльності з внутрішнього аудиту</w:t>
            </w:r>
          </w:p>
          <w:p w:rsidR="007F638F" w:rsidRPr="00B35AC3" w:rsidRDefault="007F638F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2" w:type="pct"/>
            <w:shd w:val="clear" w:color="auto" w:fill="auto"/>
          </w:tcPr>
          <w:p w:rsidR="0022512D" w:rsidRPr="00C2637A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виконання плану (зведеного плану) діяльності з внутрішнього аудиту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вчасно та у повному обсязі виконаних аудиторських завдань та заходів з іншої діяльності з внутрішнього аудиту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22512D" w:rsidRPr="0030004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Default="0022512D" w:rsidP="0022512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ефективний розподіл та використання робочого часу працівниками підрозділу внутрішнього аудиту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5AC3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яку покладено повноваження щодо здійснення внутрішнього аудиту</w:t>
            </w:r>
          </w:p>
        </w:tc>
        <w:tc>
          <w:tcPr>
            <w:tcW w:w="2502" w:type="pct"/>
            <w:shd w:val="clear" w:color="auto" w:fill="auto"/>
          </w:tcPr>
          <w:p w:rsidR="0022512D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Коефіцієнт участі у внутрішніх аудитах (здійсненні аудиторських завдань з проведення аудиторських досліджень (з оцінки надання впевненості) та аудиторських консультувань) за рік у середньому на одного працівника підрозділу внутрішнього аудиту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5AC3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яку покладено повноваження щодо здійснення внутрішнього аудиту</w:t>
            </w:r>
          </w:p>
          <w:p w:rsidR="0022512D" w:rsidRPr="008D7A55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</w:tcPr>
          <w:p w:rsidR="0022512D" w:rsidRPr="00300043" w:rsidRDefault="0022512D" w:rsidP="00DE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0,</w:t>
            </w:r>
            <w:r w:rsidR="00DE60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22512D" w:rsidP="00DE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0,</w:t>
            </w:r>
            <w:r w:rsidR="00DE60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auto" w:fill="auto"/>
          </w:tcPr>
          <w:p w:rsidR="0022512D" w:rsidRPr="00300043" w:rsidRDefault="0022512D" w:rsidP="00DE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0,</w:t>
            </w:r>
            <w:r w:rsidR="00DE60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B35AC3" w:rsidRDefault="0022512D" w:rsidP="00B35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кількість здійснених аудиторських завдань з проведення аудиторських досліджень (з оцінки надання впевненості) та аудиторських консультувань за рік на одного працівника підрозділу внутрішнього аудиту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5AC3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яку покладено повноваження щодо здійснення внутрішнього аудиту</w:t>
            </w:r>
          </w:p>
          <w:p w:rsidR="0022512D" w:rsidRPr="00B35AC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512D" w:rsidRPr="00B35AC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</w:tcPr>
          <w:p w:rsidR="0022512D" w:rsidRPr="00FD7423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менше </w:t>
            </w:r>
            <w:r w:rsidR="00FD7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:rsidR="0022512D" w:rsidRPr="00FD7423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менше </w:t>
            </w:r>
            <w:r w:rsidR="00FD7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8" w:type="pct"/>
            <w:shd w:val="clear" w:color="auto" w:fill="auto"/>
          </w:tcPr>
          <w:p w:rsidR="0022512D" w:rsidRPr="00FD7423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менше </w:t>
            </w:r>
            <w:r w:rsidR="00FD74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Default="0022512D" w:rsidP="00225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внутрішніх оцінок якості внутрішнього аудиту</w:t>
            </w:r>
          </w:p>
        </w:tc>
        <w:tc>
          <w:tcPr>
            <w:tcW w:w="2502" w:type="pct"/>
            <w:shd w:val="clear" w:color="auto" w:fill="auto"/>
          </w:tcPr>
          <w:p w:rsidR="0022512D" w:rsidRPr="00EA6BA6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виконання заходів, визначених Програмою забезпечення та підвищення якості внутрішнього аудиту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вчасно та у повному обсязі виконаних заходів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2512D" w:rsidRPr="007B1D61" w:rsidRDefault="00EA6BA6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0" w:type="pct"/>
            <w:shd w:val="clear" w:color="auto" w:fill="auto"/>
          </w:tcPr>
          <w:p w:rsidR="0022512D" w:rsidRPr="007B1D61" w:rsidRDefault="00EA6BA6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B1D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22512D" w:rsidRPr="00300043" w:rsidRDefault="00EA6BA6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2512D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22512D" w:rsidRPr="00B35AC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</w:tcPr>
          <w:p w:rsidR="0022512D" w:rsidRPr="0030004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</w:tcPr>
          <w:p w:rsidR="0022512D" w:rsidRPr="0030004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22512D" w:rsidRPr="00300043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Default="0022512D" w:rsidP="00011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координацію підрозділом внутрішнього аудиту 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="00400DBB"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 підрозділів внутрішнього аудиту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5AC3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B35A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яку покладено повноваження щодо здійснення </w:t>
            </w:r>
            <w:r w:rsidR="00B35AC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внутрішнього аудиту</w:t>
            </w:r>
            <w:r w:rsidR="00EA6B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підрозділ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обласної державної адміністрації, районних державних адміністрацій</w:t>
            </w:r>
          </w:p>
        </w:tc>
        <w:tc>
          <w:tcPr>
            <w:tcW w:w="2502" w:type="pct"/>
            <w:shd w:val="clear" w:color="auto" w:fill="auto"/>
          </w:tcPr>
          <w:p w:rsidR="0022512D" w:rsidRPr="00C2637A" w:rsidRDefault="0022512D" w:rsidP="00011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Відсоток проаналізованих підрозділом внутрішнього аудиту </w:t>
            </w:r>
            <w:r w:rsidR="007B1D6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даних, планів діяльності з внутрішнього аудиту та звітів (ф. № 1-ДВА) про результати діяльності підрозділу внутрішнього аудиту, поданих підрозділами внутрішнього аудиту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11AB3" w:rsidRPr="00E06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11AB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 w:rsidR="00011AB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 w:rsidR="00011AB3" w:rsidRPr="00E066B1">
              <w:rPr>
                <w:rFonts w:ascii="Times New Roman" w:eastAsia="Times New Roman" w:hAnsi="Times New Roman" w:cs="Times New Roman"/>
                <w:sz w:val="24"/>
                <w:szCs w:val="24"/>
              </w:rPr>
              <w:t>, на яку покладено повноваження щодо здійснення внутрішнього аудиту</w:t>
            </w:r>
            <w:r w:rsidR="001216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підрозділ</w:t>
            </w:r>
            <w:r w:rsidR="00011AB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обласної державної </w:t>
            </w:r>
            <w:r w:rsidR="00400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адміністрації, районних державних адміністрацій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опрацьованих баз даних, планів, звітів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12D" w:rsidRPr="0022512D" w:rsidTr="007A57D7">
        <w:trPr>
          <w:trHeight w:val="253"/>
        </w:trPr>
        <w:tc>
          <w:tcPr>
            <w:tcW w:w="5000" w:type="pct"/>
            <w:gridSpan w:val="5"/>
            <w:shd w:val="clear" w:color="auto" w:fill="auto"/>
          </w:tcPr>
          <w:p w:rsidR="0022512D" w:rsidRPr="0022512D" w:rsidRDefault="0022512D" w:rsidP="0022512D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Стратегічна ціль внутрішнього аудиту 4</w:t>
            </w:r>
            <w:r w:rsidRPr="00225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263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Забезпечено професійний розвиток працівників підрозділу внутрішнього аудиту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Pr="00C2637A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участь у проведенні навчань та підвищенні кваліфікації працівниками підрозділу внутрішнього аудиту</w:t>
            </w:r>
          </w:p>
        </w:tc>
        <w:tc>
          <w:tcPr>
            <w:tcW w:w="2502" w:type="pct"/>
            <w:shd w:val="clear" w:color="auto" w:fill="auto"/>
          </w:tcPr>
          <w:p w:rsidR="0022512D" w:rsidRPr="004B7F1C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виконання заходів, передбачених Планом навчання та підвищення кваліфікації працівників підрозділу внутрішнього аудиту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заходів виконаних у повному обсязі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A0AA3" w:rsidRPr="008D7A55" w:rsidRDefault="009A0AA3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512D" w:rsidRPr="00300043" w:rsidTr="007A57D7">
        <w:trPr>
          <w:trHeight w:val="253"/>
        </w:trPr>
        <w:tc>
          <w:tcPr>
            <w:tcW w:w="1420" w:type="pct"/>
            <w:shd w:val="clear" w:color="auto" w:fill="auto"/>
          </w:tcPr>
          <w:p w:rsidR="0022512D" w:rsidRPr="00C2637A" w:rsidRDefault="0022512D" w:rsidP="008D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shd w:val="clear" w:color="auto" w:fill="auto"/>
          </w:tcPr>
          <w:p w:rsidR="008D7A55" w:rsidRDefault="0022512D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Відсоток працівників підрозділу внутрішнього аудиту, які пройшли протягом року навчання з питань внутрішнього аудиту, внутрішнього контролю, бухгалтерського обліку та аудиту, основних напрямів діяльності державного органу (не менше 30 годин на рік) (</w:t>
            </w:r>
            <w:r w:rsidRPr="00C263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відсоток осіб</w:t>
            </w: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7D7" w:rsidRDefault="007A57D7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7D7" w:rsidRDefault="007A57D7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F07" w:rsidRDefault="00AA7F07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F07" w:rsidRDefault="00AA7F07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F07" w:rsidRDefault="00AA7F07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6AD" w:rsidRDefault="001216AD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6AD" w:rsidRDefault="001216AD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6AD" w:rsidRDefault="001216AD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A55" w:rsidRPr="00C2637A" w:rsidRDefault="008D7A55" w:rsidP="00FD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22512D" w:rsidRPr="00300043" w:rsidRDefault="008D6C9A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3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7A01" w:rsidRPr="001A0624" w:rsidTr="007A57D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5"/>
            <w:shd w:val="clear" w:color="auto" w:fill="D2EAF1"/>
          </w:tcPr>
          <w:p w:rsidR="00F07A01" w:rsidRPr="001A0624" w:rsidRDefault="00F07A01" w:rsidP="00606DD9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A0624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br w:type="page"/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ІV. ВИЗНАЧЕНІ ДЛЯ ДОСЛІДЖЕННЯ РИЗИКОВІ СФЕРИ ТА ПРІОРИТЕТНІ ОБ’ЄКТИ ВНУТРІШНЬОГО АУДИТУ НА </w:t>
            </w:r>
            <w:r w:rsidR="00606D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             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 w:rsidR="009A0AA3" w:rsidRPr="009A0A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uk-UA"/>
              </w:rPr>
              <w:t>6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– 202</w:t>
            </w:r>
            <w:r w:rsidR="008D6C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uk-UA"/>
              </w:rPr>
              <w:t> 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РОКИ (за результатами оцінки ризиків)</w:t>
            </w:r>
          </w:p>
        </w:tc>
      </w:tr>
    </w:tbl>
    <w:p w:rsidR="00F07A01" w:rsidRPr="00DF1B08" w:rsidRDefault="00F07A01" w:rsidP="00F07A01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5"/>
        <w:gridCol w:w="2653"/>
        <w:gridCol w:w="565"/>
        <w:gridCol w:w="3827"/>
        <w:gridCol w:w="4679"/>
        <w:gridCol w:w="849"/>
        <w:gridCol w:w="778"/>
        <w:gridCol w:w="861"/>
      </w:tblGrid>
      <w:tr w:rsidR="0080401E" w:rsidRPr="0041531B" w:rsidTr="00EB48F9">
        <w:trPr>
          <w:trHeight w:val="410"/>
        </w:trPr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897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Ризикова сфера внутрішнього аудиту</w:t>
            </w:r>
          </w:p>
        </w:tc>
        <w:tc>
          <w:tcPr>
            <w:tcW w:w="1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29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Пріоритетний об’єкт внутрішнього аудиту</w:t>
            </w:r>
          </w:p>
        </w:tc>
        <w:tc>
          <w:tcPr>
            <w:tcW w:w="1582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lk103861561"/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 підрозділу внутрішнього аудиту, який проводитиме дослідження</w:t>
            </w:r>
            <w:bookmarkEnd w:id="1"/>
          </w:p>
        </w:tc>
        <w:tc>
          <w:tcPr>
            <w:tcW w:w="841" w:type="pct"/>
            <w:gridSpan w:val="3"/>
            <w:shd w:val="clear" w:color="auto" w:fill="auto"/>
            <w:vAlign w:val="center"/>
          </w:tcPr>
          <w:p w:rsidR="00F07A01" w:rsidRPr="0041531B" w:rsidRDefault="00F07A01" w:rsidP="008D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дослідження</w:t>
            </w:r>
          </w:p>
        </w:tc>
      </w:tr>
      <w:tr w:rsidR="0080401E" w:rsidRPr="0041531B" w:rsidTr="00EB48F9">
        <w:trPr>
          <w:trHeight w:val="410"/>
        </w:trPr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F07A01" w:rsidRPr="0041531B" w:rsidRDefault="00F07A01" w:rsidP="009A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</w:t>
            </w:r>
            <w:r w:rsidR="009A0AA3"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F07A01" w:rsidRPr="0041531B" w:rsidRDefault="00F07A01" w:rsidP="009A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</w:t>
            </w:r>
            <w:r w:rsidR="009A0AA3"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07A01" w:rsidRPr="0041531B" w:rsidRDefault="00F07A01" w:rsidP="009A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</w:t>
            </w:r>
            <w:r w:rsidR="009A0AA3"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  <w:r w:rsidRPr="0041531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рік</w:t>
            </w:r>
          </w:p>
        </w:tc>
      </w:tr>
      <w:tr w:rsidR="0080401E" w:rsidRPr="0041531B" w:rsidTr="00EB48F9"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F07A01" w:rsidRPr="0041531B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EB48F9" w:rsidRPr="00DB450E" w:rsidTr="00EB48F9"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97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Бюджетні програми</w:t>
            </w:r>
          </w:p>
        </w:tc>
        <w:tc>
          <w:tcPr>
            <w:tcW w:w="1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Планування та виконання бюджетних програм</w:t>
            </w: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Дніпропетровської обласної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внутрішнього аудиту апарату Криворізької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питань внутрішнього аудиту Департаменту капітального будівництва Дніпропетровської обласної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Нікопольської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401E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483" w:rsidRPr="00DB450E" w:rsidRDefault="00347483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47483" w:rsidRPr="00DB450E" w:rsidRDefault="00347483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483" w:rsidRPr="00DB450E" w:rsidRDefault="00347483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2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7483" w:rsidRPr="00DB450E" w:rsidRDefault="00347483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Планування та виконання бюджетної програми 2501570 </w:t>
            </w:r>
            <w:r w:rsidRPr="00DB450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Виплата матеріальної допомоги військовослужбовцям звільненим з військової служби</w:t>
            </w:r>
            <w:r w:rsidRPr="00DB450E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47483" w:rsidRPr="00DB450E" w:rsidRDefault="00347483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Сектор з питань внутрішнього аудиту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Кам’янської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347483" w:rsidRPr="00DB450E" w:rsidRDefault="00347483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347483" w:rsidRPr="00DB450E" w:rsidRDefault="00347483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347483" w:rsidRPr="00DB450E" w:rsidRDefault="00347483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401E" w:rsidRPr="00DB450E" w:rsidTr="00EB48F9"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97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Публічні закупівлі</w:t>
            </w:r>
          </w:p>
        </w:tc>
        <w:tc>
          <w:tcPr>
            <w:tcW w:w="19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9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Планування та проведення публічних закупівель</w:t>
            </w: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C5D8B" w:rsidRPr="00DB450E" w:rsidRDefault="000C5D8B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Дніпропетровської обласної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0C5D8B" w:rsidRPr="00DB450E" w:rsidRDefault="0080401E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</w:tr>
      <w:tr w:rsidR="0080401E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C5D8B" w:rsidRPr="00DB450E" w:rsidRDefault="000C5D8B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внутрішнього аудиту апарату Криворізької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</w:tr>
      <w:tr w:rsidR="0080401E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C5D8B" w:rsidRPr="00DB450E" w:rsidRDefault="000C5D8B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Сектор з питань внутрішнього аудиту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Кам’янської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401E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2.2.</w:t>
            </w:r>
          </w:p>
        </w:tc>
        <w:tc>
          <w:tcPr>
            <w:tcW w:w="12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hAnsi="Times New Roman" w:cs="Times New Roman"/>
                <w:sz w:val="22"/>
                <w:szCs w:val="22"/>
              </w:rPr>
              <w:t>Економність, ефективність та результативність закупівель</w:t>
            </w: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C5D8B" w:rsidRPr="00DB450E" w:rsidRDefault="000C5D8B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Головний спеціаліст з питань внутрішнього аудиту Департаменту капітального будівництва Дніпропетровської обласної </w:t>
            </w: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державної адміністрації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</w:tr>
      <w:tr w:rsidR="00EB48F9" w:rsidRPr="00DB450E" w:rsidTr="00EB48F9"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89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Внутрішній контроль</w:t>
            </w:r>
          </w:p>
        </w:tc>
        <w:tc>
          <w:tcPr>
            <w:tcW w:w="19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3.1.</w:t>
            </w:r>
          </w:p>
        </w:tc>
        <w:tc>
          <w:tcPr>
            <w:tcW w:w="12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Функціонування системи внутрішнього контролю</w:t>
            </w: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auto"/>
          </w:tcPr>
          <w:p w:rsidR="00EB48F9" w:rsidRPr="00DB450E" w:rsidRDefault="00EB48F9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Дніпропетровської обласної державної адміністрації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pct"/>
            <w:tcBorders>
              <w:left w:val="single" w:sz="4" w:space="0" w:color="auto"/>
            </w:tcBorders>
            <w:shd w:val="clear" w:color="auto" w:fill="auto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Нікопольської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</w:tr>
      <w:tr w:rsidR="0080401E" w:rsidRPr="00DB450E" w:rsidTr="00EB48F9">
        <w:tc>
          <w:tcPr>
            <w:tcW w:w="19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3.2.</w:t>
            </w:r>
          </w:p>
        </w:tc>
        <w:tc>
          <w:tcPr>
            <w:tcW w:w="12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Управління ризиками</w:t>
            </w:r>
          </w:p>
        </w:tc>
        <w:tc>
          <w:tcPr>
            <w:tcW w:w="15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01E" w:rsidRPr="00DB450E" w:rsidRDefault="0080401E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питань внутрішнього аудиту Департаменту капітального будівництва Дніпропетровської обласної державної адміністрації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1E" w:rsidRPr="00DB450E" w:rsidRDefault="0080401E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Загальні процеси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Виконання функції головного розпорядника бюджетних коштів при розподілі коштів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Головний спеціаліст з внутрішнього аудиту апарату Криворізької районної державної адміністрації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Нарахування та виплата заробітної плати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Головний спеціаліст з внутрішнього аудиту апарату Криворізької районної державної адміністрації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Сектор з питань внутрішнього аудиту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Кам’янської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.3.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Управління персоналом </w:t>
            </w:r>
            <w:r w:rsidR="00993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(кадровий аудит)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Сектор з питань внутрішнього аудиту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Кам’янської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</w:tr>
      <w:tr w:rsidR="00EB48F9" w:rsidRPr="00DB450E" w:rsidTr="00EB48F9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4.4.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Документообіг та цифровий розвиток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питань внутрішнього аудиту Департаменту капітального будівництва Дніпропетровської обласної державної адміністрації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4.5.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Управління майном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питань внутрішнього аудиту Департаменту капітального будівництва Дніпропетровської обласної державної адміністрації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B48F9" w:rsidRPr="00DB450E" w:rsidTr="00EB48F9"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4.6.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Управління та розвиток персоналу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9" w:rsidRPr="00DB450E" w:rsidRDefault="00EB48F9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Нікопольської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9" w:rsidRPr="00DB450E" w:rsidRDefault="00EB48F9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401E" w:rsidRPr="0041531B" w:rsidTr="00EB48F9">
        <w:tc>
          <w:tcPr>
            <w:tcW w:w="19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7D05A5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="000C5D8B"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Проєктно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будівельні процеси</w:t>
            </w:r>
          </w:p>
        </w:tc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7D05A5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="000C5D8B"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.1.</w:t>
            </w:r>
          </w:p>
        </w:tc>
        <w:tc>
          <w:tcPr>
            <w:tcW w:w="129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34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Цифровізація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проєктно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будівельних процесів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C5D8B" w:rsidRPr="00DB450E" w:rsidRDefault="000C5D8B" w:rsidP="0080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питань внутрішнього аудиту Департаменту капітального будівництва Дніпропетровської обласної державної адміністрації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5D8B" w:rsidRPr="00DB450E" w:rsidRDefault="000C5D8B" w:rsidP="005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√</w:t>
            </w:r>
          </w:p>
        </w:tc>
      </w:tr>
    </w:tbl>
    <w:p w:rsidR="00F07A01" w:rsidRPr="001A0624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A0624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87"/>
      </w:tblGrid>
      <w:tr w:rsidR="00F07A01" w:rsidRPr="001A0624" w:rsidTr="008D6C9A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1A0624" w:rsidRDefault="00F07A01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V. ЗДІЙСНЕННЯ ВНУТРІШНІХ АУДИТІВ У 202</w:t>
            </w:r>
            <w:r w:rsidR="008D6C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РОЦІ (за результатами оцінки ризиків)</w:t>
            </w:r>
          </w:p>
        </w:tc>
      </w:tr>
    </w:tbl>
    <w:p w:rsidR="00F07A01" w:rsidRPr="00347483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73"/>
        <w:gridCol w:w="3484"/>
        <w:gridCol w:w="2836"/>
        <w:gridCol w:w="2552"/>
        <w:gridCol w:w="1417"/>
        <w:gridCol w:w="1354"/>
      </w:tblGrid>
      <w:tr w:rsidR="00F07A01" w:rsidRPr="00DB450E" w:rsidTr="00DF1B08">
        <w:tc>
          <w:tcPr>
            <w:tcW w:w="193" w:type="pct"/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Пріоритетний об’єкт внутрішнього аудиту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Орієнтовний обсяг дослідження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 підрозділу внутрішнього аудиту, який проводитиме внутрішній аудит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Період, що охоплюється внутрішнім аудитом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Термін здійснення внутрішнього аудиту</w:t>
            </w:r>
          </w:p>
        </w:tc>
      </w:tr>
      <w:tr w:rsidR="00F07A01" w:rsidRPr="00DB450E" w:rsidTr="00DF1B08">
        <w:tc>
          <w:tcPr>
            <w:tcW w:w="193" w:type="pct"/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70" w:type="pct"/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8" w:type="pct"/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79" w:type="pct"/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58" w:type="pct"/>
            <w:shd w:val="clear" w:color="auto" w:fill="E7E6E6" w:themeFill="background2"/>
          </w:tcPr>
          <w:p w:rsidR="00F07A01" w:rsidRPr="00DB450E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95327F" w:rsidRPr="00DB450E" w:rsidTr="007A57D7">
        <w:tc>
          <w:tcPr>
            <w:tcW w:w="5000" w:type="pct"/>
            <w:gridSpan w:val="7"/>
            <w:shd w:val="clear" w:color="auto" w:fill="auto"/>
          </w:tcPr>
          <w:p w:rsidR="0088246B" w:rsidRPr="00DB450E" w:rsidRDefault="0088246B" w:rsidP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Аудиторські дослідження (оцінка з надання впевненості)</w:t>
            </w:r>
          </w:p>
        </w:tc>
      </w:tr>
      <w:tr w:rsidR="00DF1B08" w:rsidRPr="00DB450E" w:rsidTr="006E1E8B">
        <w:tc>
          <w:tcPr>
            <w:tcW w:w="193" w:type="pct"/>
            <w:vMerge w:val="restar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70" w:type="pct"/>
            <w:vMerge w:val="restar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Планування та виконання бюджетних програм</w:t>
            </w:r>
          </w:p>
        </w:tc>
        <w:tc>
          <w:tcPr>
            <w:tcW w:w="1178" w:type="pct"/>
            <w:vMerge w:val="restar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ефективності планування і виконання бюджетних програм та результатів їх виконання, управління бюджетними коштами. Виконання функції головного розпорядника бюджетних коштів. Аналіз проведення видатків за напрямами використання бюджетних коштів.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DF1B08" w:rsidRPr="00DB450E" w:rsidRDefault="0048150B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8" w:history="1">
              <w:r w:rsidR="00DF1B08" w:rsidRPr="00DB450E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Департамент цивільного захисту</w:t>
              </w:r>
            </w:hyperlink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Дніпропетровської обласної державної адміністрації (обласної військової адміністрації)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Дніпропетровської обласної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2023-2025 роки</w:t>
            </w:r>
          </w:p>
        </w:tc>
        <w:tc>
          <w:tcPr>
            <w:tcW w:w="458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2026 рік</w:t>
            </w:r>
          </w:p>
        </w:tc>
      </w:tr>
      <w:tr w:rsidR="00DF1B08" w:rsidRPr="00DB450E" w:rsidTr="006E1E8B">
        <w:trPr>
          <w:trHeight w:val="1254"/>
        </w:trPr>
        <w:tc>
          <w:tcPr>
            <w:tcW w:w="193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DF1B08" w:rsidRPr="00DB450E" w:rsidRDefault="0048150B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9" w:history="1">
              <w:r w:rsidR="00DF1B08" w:rsidRPr="00DB450E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Департамент освіти і науки</w:t>
              </w:r>
            </w:hyperlink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Дніпропетровської обласної державної адміністрації (обласної військової адміністрації)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Дніпропетровської обласної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2024-2026 роки</w:t>
            </w:r>
          </w:p>
        </w:tc>
        <w:tc>
          <w:tcPr>
            <w:tcW w:w="458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2026 рік</w:t>
            </w:r>
          </w:p>
        </w:tc>
      </w:tr>
      <w:tr w:rsidR="00DF1B08" w:rsidRPr="00DB450E" w:rsidTr="006E1E8B">
        <w:trPr>
          <w:trHeight w:val="1362"/>
        </w:trPr>
        <w:tc>
          <w:tcPr>
            <w:tcW w:w="193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DF1B08" w:rsidRPr="00DB450E" w:rsidRDefault="0048150B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0" w:history="1">
              <w:r w:rsidR="00DF1B08" w:rsidRPr="00DB450E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Департамент економічного розвитку</w:t>
              </w:r>
            </w:hyperlink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Дніпропетровської обласної державної адміністрації (обласної військової адміністрації)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Дніпропетровської обласної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2024-2026 роки</w:t>
            </w:r>
          </w:p>
        </w:tc>
        <w:tc>
          <w:tcPr>
            <w:tcW w:w="458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2026 рік</w:t>
            </w:r>
          </w:p>
        </w:tc>
      </w:tr>
      <w:tr w:rsidR="00DF1B08" w:rsidRPr="00DB450E" w:rsidTr="00DF1B08">
        <w:trPr>
          <w:trHeight w:val="1060"/>
        </w:trPr>
        <w:tc>
          <w:tcPr>
            <w:tcW w:w="193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vMerge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Управління соціального      захисту населення Нікопольської районної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DF1B08" w:rsidRPr="00DB450E" w:rsidRDefault="00DF1B08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Відділ внутрішнього аудиту Нікопольської районної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DF1B08" w:rsidRPr="00DB450E" w:rsidRDefault="00DF1B08" w:rsidP="00DF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2023-2025 роки</w:t>
            </w:r>
          </w:p>
        </w:tc>
        <w:tc>
          <w:tcPr>
            <w:tcW w:w="458" w:type="pct"/>
            <w:shd w:val="clear" w:color="auto" w:fill="auto"/>
          </w:tcPr>
          <w:p w:rsidR="00DF1B08" w:rsidRPr="00DB450E" w:rsidRDefault="00DF1B08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2026 рік</w:t>
            </w:r>
          </w:p>
        </w:tc>
      </w:tr>
      <w:tr w:rsidR="00EB48F9" w:rsidRPr="00DB450E" w:rsidTr="006E1E8B">
        <w:trPr>
          <w:trHeight w:val="274"/>
        </w:trPr>
        <w:tc>
          <w:tcPr>
            <w:tcW w:w="193" w:type="pct"/>
            <w:vMerge/>
            <w:shd w:val="clear" w:color="auto" w:fill="auto"/>
          </w:tcPr>
          <w:p w:rsidR="00EB48F9" w:rsidRPr="00DB450E" w:rsidRDefault="00EB48F9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:rsidR="00EB48F9" w:rsidRPr="00DB450E" w:rsidRDefault="00EB48F9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pct"/>
            <w:shd w:val="clear" w:color="auto" w:fill="auto"/>
          </w:tcPr>
          <w:p w:rsidR="00EB48F9" w:rsidRPr="00DB450E" w:rsidRDefault="00EB48F9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Оцінка ефективності, результативності, економності та правомірності процесів планування, реалізації та моніторингу бюджетних програм, а також відповідності цих процесів вимогам Бюджетного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кодексу України, нормативно-правових актів з програмно-цільового методу та внутрішніх регламентів установи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EB48F9" w:rsidRPr="00DB450E" w:rsidRDefault="0041531B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Планово-економічний відділ управління планування, кадрового та адміністративно-господарського забезпечення </w:t>
            </w:r>
            <w:r w:rsidR="00EB48F9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Департамент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EB48F9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капітального </w:t>
            </w:r>
            <w:r w:rsidR="00EB48F9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будівництва Дніпропетровської обласної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EB48F9" w:rsidRPr="00DB450E" w:rsidRDefault="00EB48F9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Головний спеціаліст з питань внутрішнього аудиту Департаменту капітального будівництва Дніпропетровської обласної державної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адміністрації</w:t>
            </w:r>
          </w:p>
        </w:tc>
        <w:tc>
          <w:tcPr>
            <w:tcW w:w="479" w:type="pct"/>
            <w:shd w:val="clear" w:color="auto" w:fill="auto"/>
          </w:tcPr>
          <w:p w:rsidR="00EB48F9" w:rsidRPr="00DB450E" w:rsidRDefault="00EB48F9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2024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2025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роки</w:t>
            </w:r>
          </w:p>
        </w:tc>
        <w:tc>
          <w:tcPr>
            <w:tcW w:w="458" w:type="pct"/>
            <w:shd w:val="clear" w:color="auto" w:fill="auto"/>
          </w:tcPr>
          <w:p w:rsidR="00EB48F9" w:rsidRPr="00DB450E" w:rsidRDefault="00EB48F9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ІІ півріччя 2026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року</w:t>
            </w:r>
          </w:p>
        </w:tc>
      </w:tr>
      <w:tr w:rsidR="00543C74" w:rsidRPr="00DB450E" w:rsidTr="006E1E8B">
        <w:trPr>
          <w:trHeight w:val="274"/>
        </w:trPr>
        <w:tc>
          <w:tcPr>
            <w:tcW w:w="193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870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Планування та виконання бюджетної програми 2501570 </w:t>
            </w:r>
            <w:r w:rsidRPr="00DB450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Виплата матеріальної допомоги військовослужбовцям звільненим з військової служби</w:t>
            </w:r>
            <w:r w:rsidRPr="00DB450E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17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Оцінка ефективності використання бюджетних коштів. Аналіз використання видатків бюджетної програми за напрямом її роботи. Дотримання актів законодавства, планів, процедур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Управління соціальної та ветеранської політики </w:t>
            </w:r>
            <w:proofErr w:type="spellStart"/>
            <w:r w:rsidRPr="00DB450E">
              <w:rPr>
                <w:rFonts w:ascii="Times New Roman" w:eastAsia="Calibri" w:hAnsi="Times New Roman" w:cs="Times New Roman"/>
                <w:sz w:val="22"/>
                <w:szCs w:val="22"/>
              </w:rPr>
              <w:t>Кам’янської</w:t>
            </w:r>
            <w:proofErr w:type="spellEnd"/>
            <w:r w:rsidRPr="00DB4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районної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DB450E" w:rsidRDefault="00543C74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Сектор з питань внутрішнього аудиту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Кам’янської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айонної державної </w:t>
            </w:r>
            <w:proofErr w:type="spellStart"/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адміністрації</w:t>
            </w: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і</w:t>
            </w:r>
            <w:proofErr w:type="spellEnd"/>
          </w:p>
        </w:tc>
        <w:tc>
          <w:tcPr>
            <w:tcW w:w="479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2023-2024</w:t>
            </w:r>
            <w:r w:rsidR="00600677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роки</w:t>
            </w:r>
          </w:p>
        </w:tc>
        <w:tc>
          <w:tcPr>
            <w:tcW w:w="45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І півріччя 2026 року</w:t>
            </w:r>
          </w:p>
        </w:tc>
      </w:tr>
      <w:tr w:rsidR="00543C74" w:rsidRPr="00DB450E" w:rsidTr="006E1E8B">
        <w:trPr>
          <w:trHeight w:val="274"/>
        </w:trPr>
        <w:tc>
          <w:tcPr>
            <w:tcW w:w="193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70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Планування та проведення публічних закупівель</w:t>
            </w:r>
          </w:p>
        </w:tc>
        <w:tc>
          <w:tcPr>
            <w:tcW w:w="117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Здійснення публічних закупівель та укладання за їх результатами договорів відповідно до вимог чинного законодавства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Фінансовий відділ </w:t>
            </w:r>
            <w:proofErr w:type="spellStart"/>
            <w:r w:rsidRPr="00DB450E">
              <w:rPr>
                <w:rFonts w:ascii="Times New Roman" w:eastAsia="Calibri" w:hAnsi="Times New Roman" w:cs="Times New Roman"/>
                <w:sz w:val="22"/>
                <w:szCs w:val="22"/>
              </w:rPr>
              <w:t>Кам’янської</w:t>
            </w:r>
            <w:proofErr w:type="spellEnd"/>
            <w:r w:rsidRPr="00DB4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районної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DB450E" w:rsidRDefault="00543C74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Сектор з питань внутрішнього аудиту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Кам’янської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2023-2025 роки</w:t>
            </w:r>
          </w:p>
        </w:tc>
        <w:tc>
          <w:tcPr>
            <w:tcW w:w="45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ІІ півріччя 2026 року</w:t>
            </w:r>
          </w:p>
        </w:tc>
      </w:tr>
      <w:tr w:rsidR="00543C74" w:rsidRPr="00DB450E" w:rsidTr="006E1E8B">
        <w:tc>
          <w:tcPr>
            <w:tcW w:w="193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70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Виконання функції головного розпорядника бюджетних коштів при розподілі коштів </w:t>
            </w:r>
          </w:p>
        </w:tc>
        <w:tc>
          <w:tcPr>
            <w:tcW w:w="1178" w:type="pct"/>
            <w:shd w:val="clear" w:color="auto" w:fill="auto"/>
          </w:tcPr>
          <w:p w:rsidR="00543C74" w:rsidRPr="00DB450E" w:rsidRDefault="00543C74" w:rsidP="00E6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Оцінка оформлення лімітних довідок, кошторисів, планів асигнувань та інших бюджетних документів в процесі виконання бюджету</w:t>
            </w:r>
            <w:r w:rsidR="007D05A5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Дотримання вимог </w:t>
            </w:r>
            <w:proofErr w:type="spellStart"/>
            <w:r w:rsidR="00E63C78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Мінфіна</w:t>
            </w:r>
            <w:proofErr w:type="spellEnd"/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при затвердженні документів, що застосовуються в процесі виконання бюджету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Апарат Криворізької районної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DB450E" w:rsidRDefault="00543C74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внутрішнього аудиту апарату Криворізької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2024-2025 роки</w:t>
            </w:r>
          </w:p>
        </w:tc>
        <w:tc>
          <w:tcPr>
            <w:tcW w:w="45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квітень-травень</w:t>
            </w:r>
          </w:p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2026 року</w:t>
            </w:r>
          </w:p>
        </w:tc>
      </w:tr>
      <w:tr w:rsidR="00543C74" w:rsidRPr="00DB450E" w:rsidTr="006E1E8B">
        <w:tc>
          <w:tcPr>
            <w:tcW w:w="193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70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Нарахування та виплата заробітної плати</w:t>
            </w:r>
          </w:p>
        </w:tc>
        <w:tc>
          <w:tcPr>
            <w:tcW w:w="117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Оцінка законності та достовірності витрат на оплату праці (нарахування та своєчасність виплати заробітної плати, правильність нарахування та виплати інших заохочувальних виплат). Інші питання, які виникають під час аудиту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Апарат Криворізької районної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DB450E" w:rsidRDefault="00543C74" w:rsidP="00DF1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Головний спеціаліст з внутрішнього аудиту апарату Криворізької р</w:t>
            </w:r>
            <w:r w:rsidR="00DF1B08"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айонної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2024-2025 роки</w:t>
            </w:r>
          </w:p>
        </w:tc>
        <w:tc>
          <w:tcPr>
            <w:tcW w:w="458" w:type="pct"/>
            <w:shd w:val="clear" w:color="auto" w:fill="auto"/>
          </w:tcPr>
          <w:p w:rsidR="00543C74" w:rsidRPr="00DB450E" w:rsidRDefault="00F2647A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</w:t>
            </w:r>
            <w:r w:rsidR="00543C74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ервень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43C74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43C74"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серпень</w:t>
            </w:r>
          </w:p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2026 року</w:t>
            </w:r>
          </w:p>
        </w:tc>
      </w:tr>
      <w:tr w:rsidR="00543C74" w:rsidRPr="0041531B" w:rsidTr="006E1E8B">
        <w:tc>
          <w:tcPr>
            <w:tcW w:w="193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870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Документообіг та цифровий розвиток</w:t>
            </w:r>
          </w:p>
        </w:tc>
        <w:tc>
          <w:tcPr>
            <w:tcW w:w="117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Оцінка ефективності, своєчасності, надійності та безпечності процесів документообігу, а також стану цифрового розвитку установи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Департамент капітального будівництва Дніпропетровської обласної державної адміністрації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Головний спеціаліст з питань внутрішнього аудиту Департаменту капітального будівництва </w:t>
            </w:r>
            <w:r w:rsidRPr="00DB4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Дніпропетровської обласної державної адміністрації</w:t>
            </w:r>
          </w:p>
        </w:tc>
        <w:tc>
          <w:tcPr>
            <w:tcW w:w="479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2024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2025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роки</w:t>
            </w:r>
          </w:p>
        </w:tc>
        <w:tc>
          <w:tcPr>
            <w:tcW w:w="458" w:type="pct"/>
            <w:shd w:val="clear" w:color="auto" w:fill="auto"/>
          </w:tcPr>
          <w:p w:rsidR="00543C74" w:rsidRPr="00DB450E" w:rsidRDefault="00543C74" w:rsidP="006E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І півріччя 2026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B450E">
              <w:rPr>
                <w:rFonts w:ascii="Times New Roman" w:eastAsia="Times New Roman" w:hAnsi="Times New Roman" w:cs="Times New Roman"/>
                <w:sz w:val="22"/>
                <w:szCs w:val="22"/>
              </w:rPr>
              <w:t>року</w:t>
            </w:r>
          </w:p>
        </w:tc>
      </w:tr>
      <w:tr w:rsidR="00543C74" w:rsidRPr="0041531B" w:rsidTr="007A57D7">
        <w:tc>
          <w:tcPr>
            <w:tcW w:w="5000" w:type="pct"/>
            <w:gridSpan w:val="7"/>
            <w:shd w:val="clear" w:color="auto" w:fill="auto"/>
          </w:tcPr>
          <w:p w:rsidR="00543C74" w:rsidRPr="0041531B" w:rsidRDefault="00543C74" w:rsidP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Аудиторські консультування</w:t>
            </w:r>
          </w:p>
        </w:tc>
      </w:tr>
      <w:tr w:rsidR="00543C74" w:rsidRPr="0041531B" w:rsidTr="00600677">
        <w:tc>
          <w:tcPr>
            <w:tcW w:w="193" w:type="pct"/>
            <w:shd w:val="clear" w:color="auto" w:fill="auto"/>
          </w:tcPr>
          <w:p w:rsidR="00543C74" w:rsidRPr="0041531B" w:rsidRDefault="00543C74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70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C74" w:rsidRPr="0041531B" w:rsidTr="00600677">
        <w:tc>
          <w:tcPr>
            <w:tcW w:w="193" w:type="pct"/>
            <w:shd w:val="clear" w:color="auto" w:fill="auto"/>
          </w:tcPr>
          <w:p w:rsidR="00543C74" w:rsidRPr="0041531B" w:rsidRDefault="00543C74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70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3C74" w:rsidRPr="0041531B" w:rsidTr="00600677">
        <w:tc>
          <w:tcPr>
            <w:tcW w:w="193" w:type="pct"/>
            <w:shd w:val="clear" w:color="auto" w:fill="auto"/>
          </w:tcPr>
          <w:p w:rsidR="00543C74" w:rsidRPr="0041531B" w:rsidRDefault="00543C74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:rsidR="00543C74" w:rsidRPr="0041531B" w:rsidRDefault="00543C74" w:rsidP="0060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53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07A01" w:rsidRPr="0095327F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5327F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87"/>
      </w:tblGrid>
      <w:tr w:rsidR="0095327F" w:rsidRPr="0095327F" w:rsidTr="008D6C9A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95327F" w:rsidRDefault="00F07A01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953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VI. ЗДІЙСНЕННЯ ВНУТРІШНІХ АУДИТІВ У 202</w:t>
            </w:r>
            <w:r w:rsidR="008D6C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953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РОЦІ (за дорученням/зверненням)</w:t>
            </w:r>
          </w:p>
        </w:tc>
      </w:tr>
    </w:tbl>
    <w:p w:rsidR="00F07A01" w:rsidRPr="0095327F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78"/>
        <w:gridCol w:w="2109"/>
        <w:gridCol w:w="1612"/>
        <w:gridCol w:w="1822"/>
        <w:gridCol w:w="3088"/>
        <w:gridCol w:w="2077"/>
        <w:gridCol w:w="1689"/>
        <w:gridCol w:w="1612"/>
      </w:tblGrid>
      <w:tr w:rsidR="0095327F" w:rsidRPr="0095327F" w:rsidTr="00EC184D">
        <w:tc>
          <w:tcPr>
            <w:tcW w:w="270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 з/п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Об’єкт внутрішнього аудиту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Підстава для включення об’єкту внутрішнього аудиту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Орієнтовний обсяг дослідження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 підрозділу внутрішнього аудиту, який проводитиме внутрішній аудит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Період, що охоплюється внутрішнім аудитом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Термін здійснення внутрішнього аудиту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0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51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2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5327F" w:rsidRPr="0095327F" w:rsidTr="00EC184D">
        <w:tc>
          <w:tcPr>
            <w:tcW w:w="5000" w:type="pct"/>
            <w:gridSpan w:val="8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Аудиторські дослідження (оцінка з надання впевненості)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0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0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20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EC184D">
        <w:tc>
          <w:tcPr>
            <w:tcW w:w="5000" w:type="pct"/>
            <w:gridSpan w:val="8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Аудиторські консультування 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0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0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EC184D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20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7A01" w:rsidRPr="0095327F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5327F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87"/>
      </w:tblGrid>
      <w:tr w:rsidR="0095327F" w:rsidRPr="0095327F" w:rsidTr="008D6C9A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95327F" w:rsidRDefault="00F07A01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953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VІI. ЗДІЙСНЕННЯ ВНУТРІШНІХ АУДИТІВ У 202</w:t>
            </w:r>
            <w:r w:rsidR="008D6C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953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РОЦІ (розпочаті та не завершені у попередньому році)</w:t>
            </w:r>
          </w:p>
        </w:tc>
      </w:tr>
    </w:tbl>
    <w:p w:rsidR="00F07A01" w:rsidRPr="0095327F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88"/>
        <w:gridCol w:w="1549"/>
        <w:gridCol w:w="2122"/>
        <w:gridCol w:w="2122"/>
        <w:gridCol w:w="2814"/>
        <w:gridCol w:w="2084"/>
        <w:gridCol w:w="1696"/>
        <w:gridCol w:w="1612"/>
      </w:tblGrid>
      <w:tr w:rsidR="0095327F" w:rsidRPr="0095327F" w:rsidTr="003D7547">
        <w:trPr>
          <w:trHeight w:val="1623"/>
        </w:trPr>
        <w:tc>
          <w:tcPr>
            <w:tcW w:w="270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 з/п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Пункт плану за попередній рік, відповідно до якого розпочато внутрішній аудит 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Об’єкт внутрішнього аудиту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Орієнтовний обсяг дослідження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 підрозділу внутрішнього аудиту, який проводитиме внутрішній аудит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Період, що охоплюється внутрішнім аудитом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Термін здійснення внутрішнього аудиту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7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77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1" w:type="pct"/>
            <w:shd w:val="clear" w:color="auto" w:fill="E7E6E6" w:themeFill="background2"/>
          </w:tcPr>
          <w:p w:rsidR="00F07A01" w:rsidRPr="0095327F" w:rsidRDefault="00F07A01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5327F" w:rsidRPr="0095327F" w:rsidTr="003D7547">
        <w:tc>
          <w:tcPr>
            <w:tcW w:w="5000" w:type="pct"/>
            <w:gridSpan w:val="8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Аудиторські дослідження (оцінка з надання впевненості)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3D7547">
        <w:tc>
          <w:tcPr>
            <w:tcW w:w="5000" w:type="pct"/>
            <w:gridSpan w:val="8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Аудиторські консультування 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27F" w:rsidRPr="0095327F" w:rsidTr="003D7547">
        <w:tc>
          <w:tcPr>
            <w:tcW w:w="270" w:type="pct"/>
            <w:shd w:val="clear" w:color="auto" w:fill="auto"/>
          </w:tcPr>
          <w:p w:rsidR="002D5191" w:rsidRPr="0095327F" w:rsidRDefault="002D5191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7F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pct"/>
            <w:tcBorders>
              <w:righ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2D5191" w:rsidRPr="0095327F" w:rsidRDefault="001E21BF" w:rsidP="002D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7A01" w:rsidRPr="0095327F" w:rsidRDefault="00F07A01" w:rsidP="00F07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5327F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87"/>
      </w:tblGrid>
      <w:tr w:rsidR="008D6C9A" w:rsidRPr="00C2637A" w:rsidTr="008D6C9A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8D6C9A" w:rsidRPr="00C2637A" w:rsidRDefault="008D6C9A" w:rsidP="008D6C9A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C263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VІІI. ЗДІЙСНЕННЯ ІНШОЇ ДІЯЛЬНОСТІ З ВНУТРІШНЬОГО АУДИТУ У 2026 – 2028 РОКАХ</w:t>
            </w:r>
          </w:p>
        </w:tc>
      </w:tr>
    </w:tbl>
    <w:p w:rsidR="008D6C9A" w:rsidRPr="00261B0E" w:rsidRDefault="008D6C9A" w:rsidP="008D6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1"/>
        <w:gridCol w:w="24"/>
        <w:gridCol w:w="12820"/>
        <w:gridCol w:w="523"/>
        <w:gridCol w:w="450"/>
        <w:gridCol w:w="458"/>
      </w:tblGrid>
      <w:tr w:rsidR="008D6C9A" w:rsidRPr="00F94C98" w:rsidTr="006F163D">
        <w:trPr>
          <w:cantSplit/>
          <w:trHeight w:val="466"/>
        </w:trPr>
        <w:tc>
          <w:tcPr>
            <w:tcW w:w="173" w:type="pct"/>
            <w:gridSpan w:val="2"/>
            <w:vMerge w:val="restart"/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 з/п</w:t>
            </w:r>
          </w:p>
        </w:tc>
        <w:tc>
          <w:tcPr>
            <w:tcW w:w="4343" w:type="pct"/>
            <w:gridSpan w:val="2"/>
            <w:vMerge w:val="restart"/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Заходи з іншої діяльності з внутрішнього аудиту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Роки виконання</w:t>
            </w:r>
          </w:p>
        </w:tc>
      </w:tr>
      <w:tr w:rsidR="008D6C9A" w:rsidRPr="00F94C98" w:rsidTr="006F163D">
        <w:trPr>
          <w:cantSplit/>
          <w:trHeight w:val="1084"/>
        </w:trPr>
        <w:tc>
          <w:tcPr>
            <w:tcW w:w="173" w:type="pct"/>
            <w:gridSpan w:val="2"/>
            <w:vMerge/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343" w:type="pct"/>
            <w:gridSpan w:val="2"/>
            <w:vMerge/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6C9A" w:rsidRPr="00F94C98" w:rsidRDefault="008D6C9A" w:rsidP="008D6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2026 рік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D6C9A" w:rsidRPr="00F94C98" w:rsidRDefault="008D6C9A" w:rsidP="008D6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2027 рік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D6C9A" w:rsidRPr="00F94C98" w:rsidRDefault="008D6C9A" w:rsidP="008D6C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2028 рік</w:t>
            </w:r>
          </w:p>
        </w:tc>
      </w:tr>
      <w:tr w:rsidR="008D6C9A" w:rsidRPr="00F94C98" w:rsidTr="006F163D">
        <w:tc>
          <w:tcPr>
            <w:tcW w:w="173" w:type="pct"/>
            <w:gridSpan w:val="2"/>
            <w:shd w:val="clear" w:color="auto" w:fill="E7E6E6" w:themeFill="background2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343" w:type="pct"/>
            <w:gridSpan w:val="2"/>
            <w:shd w:val="clear" w:color="auto" w:fill="E7E6E6" w:themeFill="background2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8D6C9A" w:rsidRPr="00F94C98" w:rsidTr="00947898">
        <w:trPr>
          <w:trHeight w:val="309"/>
        </w:trPr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методологічна робота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7F3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Моніторинг та аналіз змін у нормативно-правових актах з питань внутрішнього аудиту з метою актуалізації основних внутрішніх документів з питань внутрішнього аудиту (підготовка про</w:t>
            </w:r>
            <w:r w:rsidR="007F3C92">
              <w:rPr>
                <w:rFonts w:ascii="Times New Roman" w:eastAsia="Times New Roman" w:hAnsi="Times New Roman" w:cs="Times New Roman"/>
                <w:sz w:val="23"/>
                <w:szCs w:val="23"/>
              </w:rPr>
              <w:t>є</w:t>
            </w: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ктів основних внутрішніх документів з питань внутрішнього аудиту, їх погодження та затвердження відповідно до визначених внутрішніх процедур та регламентів)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947898">
        <w:trPr>
          <w:trHeight w:val="455"/>
        </w:trPr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ризик-орієнтоване планування діяльності з внутрішнього аудиту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Формалізація та документування простору внутрішнього аудиту шляхом ведення бази (зведеної бази) даних, забезпечення у базі (зведеній базі) даних підтримки інформації щодо об’єктів внутрішнього аудиту в актуальному стані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F5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Проведення та документування результатів оцінки ризиків та ризик-орієнтованого відбору об’єктів внутрішнього аудиту, перегляд та актуалізація оцінки ризиків та застосованих фактів відбору для здійснення планових внутрішніх аудитів, проведення консультацій з керівником установи щодо проблемних питань та ризиків у діяльності </w:t>
            </w:r>
            <w:r w:rsidR="007A155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обласної державної адміністрації</w:t>
            </w:r>
            <w:r w:rsidR="007A1555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її апарату, структурних підрозділ</w:t>
            </w:r>
            <w:r w:rsidR="00F50916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ах</w:t>
            </w:r>
            <w:r w:rsidR="007A1555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районних державних адміністраці</w:t>
            </w:r>
            <w:r w:rsidR="00F50916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ях</w:t>
            </w:r>
            <w:r w:rsidR="007A1555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підприємств</w:t>
            </w:r>
            <w:r w:rsidR="00F50916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ах</w:t>
            </w:r>
            <w:r w:rsidR="007A1555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установ</w:t>
            </w:r>
            <w:r w:rsidR="00F50916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ах</w:t>
            </w:r>
            <w:r w:rsidR="007A1555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та організаці</w:t>
            </w:r>
            <w:r w:rsidR="00F50916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ях</w:t>
            </w:r>
            <w:r w:rsidR="007A1555" w:rsidRPr="00F94C9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що належать до сфери їх управління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7F3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Формування та затвердження </w:t>
            </w:r>
            <w:r w:rsidR="001E21B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головою обласної державної адміністрації, </w:t>
            </w:r>
            <w:r w:rsidR="007A155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керівником структурного підрозділу обласної державної адміністрації, головою </w:t>
            </w:r>
            <w:r w:rsidR="001E21B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районної державної адміністрації</w:t>
            </w: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плану (зведеного плану) діяльності з внутрішнього аудиту на підставі результатів оцінки ризиків, оприлюднення плану (зведеного плану) діяльності з внутрішнього аудиту (планів із змінами) на офіційному </w:t>
            </w:r>
            <w:proofErr w:type="spellStart"/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вебсайті</w:t>
            </w:r>
            <w:proofErr w:type="spellEnd"/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7400C3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обласної державної адміністрації, районних державних адміністрацій </w:t>
            </w:r>
            <w:r w:rsidR="001E21B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та</w:t>
            </w: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направлення </w:t>
            </w:r>
            <w:r w:rsidR="007F3C92">
              <w:rPr>
                <w:rFonts w:ascii="Times New Roman" w:eastAsia="Times New Roman" w:hAnsi="Times New Roman" w:cs="Times New Roman"/>
                <w:sz w:val="23"/>
                <w:szCs w:val="23"/>
              </w:rPr>
              <w:t>Міністерства фінансів України</w:t>
            </w:r>
            <w:r w:rsidR="00F50916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1E21B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обласною державною адміністрацією </w:t>
            </w: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копії затвердженого зведеного плану діяльності з внутрішнього аудиту (зведеного плану із змінами) у визначені терміни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EE6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Перегляд</w:t>
            </w:r>
            <w:r w:rsidRPr="00F94C9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та внесення змін до плану (зведеного плану) діяльності з внутрішнього аудиту у разі зміни стратегії (пріоритетів) та цілей діяльності </w:t>
            </w:r>
            <w:r w:rsidR="0007106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обласної державної адміністрації</w:t>
            </w:r>
            <w:r w:rsidR="0007106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, її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7106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структурн</w:t>
            </w:r>
            <w:r w:rsidR="00EE6DC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ого</w:t>
            </w:r>
            <w:r w:rsidR="0007106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підрозділ</w:t>
            </w:r>
            <w:r w:rsidR="00EE6DC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07106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, районних державних адміністрацій</w:t>
            </w:r>
            <w:r w:rsidR="0007106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за результатами проведення оцінки ризиків або її актуалізації, а також з інших обґрунтованих підстав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8D6C9A"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моніторинг врахування рекомендацій за результатами внутрішнього аудиту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Моніторинг впровадження аудиторських рекомендацій, за потреби – направлення відповідальним за діяльність особам 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нагадувань про необхідність впровадження аудиторських рекомендацій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644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Узагальнення та аналіз інформації щодо стану впровадж</w:t>
            </w:r>
            <w:r w:rsidR="00644C70">
              <w:rPr>
                <w:rFonts w:ascii="Times New Roman" w:eastAsia="Calibri" w:hAnsi="Times New Roman" w:cs="Times New Roman"/>
                <w:sz w:val="23"/>
                <w:szCs w:val="23"/>
              </w:rPr>
              <w:t>ення аудиторських рекомендацій (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включення відповідної інформації до матеріалів справ</w:t>
            </w:r>
            <w:r w:rsidR="00644C70">
              <w:rPr>
                <w:rFonts w:ascii="Times New Roman" w:eastAsia="Calibri" w:hAnsi="Times New Roman" w:cs="Times New Roman"/>
                <w:sz w:val="23"/>
                <w:szCs w:val="23"/>
              </w:rPr>
              <w:t>)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та бази даних щодо моніторингу врахування рекомендацій за результатами внутрішнього аудиту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8D6C9A"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звітування (внутрішнє та зовнішнє) про діяльність підрозділу внутрішнього аудиту</w:t>
            </w:r>
          </w:p>
        </w:tc>
      </w:tr>
      <w:tr w:rsidR="008D6C9A" w:rsidRPr="00F94C98" w:rsidTr="006F163D">
        <w:tc>
          <w:tcPr>
            <w:tcW w:w="166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4350" w:type="pct"/>
            <w:gridSpan w:val="3"/>
            <w:shd w:val="clear" w:color="auto" w:fill="auto"/>
          </w:tcPr>
          <w:p w:rsidR="008D6C9A" w:rsidRPr="00F94C98" w:rsidRDefault="008D6C9A" w:rsidP="00644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Узагальнення та аналіз інформації про діяльність підрозділу внутрішнього аудиту за відповідний рік, подання </w:t>
            </w:r>
            <w:r w:rsidR="004A776D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голові обласної державної адміністрації, 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керівнику </w:t>
            </w:r>
            <w:r w:rsidR="004A776D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структурного підрозділу обласної державної адміністрації, голові районної державної адміністрації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письмових звітів (зведених звітів) про результати діяльності підрозділу внутрішнього аудиту та направлення </w:t>
            </w:r>
            <w:r w:rsidR="00644C70">
              <w:rPr>
                <w:rFonts w:ascii="Times New Roman" w:eastAsia="Calibri" w:hAnsi="Times New Roman" w:cs="Times New Roman"/>
                <w:sz w:val="23"/>
                <w:szCs w:val="23"/>
              </w:rPr>
              <w:t>Міністерству фінансів України</w:t>
            </w:r>
            <w:r w:rsidR="007030E0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7A1555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обласною державною адміністрацією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зведен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ого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звіт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(ф.</w:t>
            </w:r>
            <w:r w:rsidR="004F7406">
              <w:rPr>
                <w:rFonts w:ascii="Times New Roman" w:eastAsia="Calibri" w:hAnsi="Times New Roman" w:cs="Times New Roman"/>
                <w:sz w:val="23"/>
                <w:szCs w:val="23"/>
              </w:rPr>
              <w:t> 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№</w:t>
            </w:r>
            <w:r w:rsidR="004F7406">
              <w:rPr>
                <w:rFonts w:ascii="Times New Roman" w:eastAsia="Calibri" w:hAnsi="Times New Roman" w:cs="Times New Roman"/>
                <w:sz w:val="23"/>
                <w:szCs w:val="23"/>
              </w:rPr>
              <w:t> 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1-ДВА) про результати діяльності підрозділ</w:t>
            </w:r>
            <w:r w:rsidR="007030E0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внутрішнього аудиту за визначеною структурою/формою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8D6C9A"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проведення внутрішніх оцінок якості внутрішнього аудиту</w:t>
            </w:r>
          </w:p>
        </w:tc>
      </w:tr>
      <w:tr w:rsidR="008D6C9A" w:rsidRPr="00F94C98" w:rsidTr="006F163D">
        <w:tc>
          <w:tcPr>
            <w:tcW w:w="181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4335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Відстеження стану виконання заходів, передбачених Програмою забезпечення і підвищення якості внутрішнього аудиту на поточний рік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81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4335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Здійснення постійного моніторингу діяльності з внутрішнього аудиту та проведення періодичних оцінок діяльності з внутрішнього аудиту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81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4335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Підготовка та затвердження Програми забезпечення і підвищення якості внутрішнього аудиту на наступний рік, забезпечення виконання у повному обсязі заходів, передбачених Програмою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81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4335" w:type="pct"/>
            <w:shd w:val="clear" w:color="auto" w:fill="auto"/>
          </w:tcPr>
          <w:p w:rsidR="008D6C9A" w:rsidRPr="00F94C98" w:rsidRDefault="008D6C9A" w:rsidP="00071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Підготовка інформації про результати внутрішньої оцінки якості внутрішнього аудиту, у тому числі про заходи, які потрібно вжити для вдосконалення діяльності з внутрішнього аудиту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8D6C9A"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професійний розвиток працівників підрозділу внутрішнього аудиту</w:t>
            </w:r>
          </w:p>
        </w:tc>
      </w:tr>
      <w:tr w:rsidR="008D6C9A" w:rsidRPr="00F94C98" w:rsidTr="006F163D">
        <w:tc>
          <w:tcPr>
            <w:tcW w:w="181" w:type="pct"/>
            <w:gridSpan w:val="3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4335" w:type="pct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Проведення навчань у підрозділі внутрішнього аудиту (внутрішні навчання), участь у навчальних заходах (тренінгах, семінарах, конференціях тощо), організованих іншими органами, установами, організаціями, вивчення вітчизняного та міжнародного досвіду з питань внутрішнього аудиту (законодавства, методичних посібників тощо) (самоосвіта)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√</w:t>
            </w:r>
          </w:p>
        </w:tc>
      </w:tr>
      <w:tr w:rsidR="008D6C9A" w:rsidRPr="00F94C98" w:rsidTr="008D6C9A">
        <w:tc>
          <w:tcPr>
            <w:tcW w:w="5000" w:type="pct"/>
            <w:gridSpan w:val="7"/>
            <w:shd w:val="clear" w:color="auto" w:fill="auto"/>
          </w:tcPr>
          <w:p w:rsidR="008D6C9A" w:rsidRPr="00F94C98" w:rsidRDefault="008D6C9A" w:rsidP="008D6C9A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Здійснення іншої діяльності з внутрішнього аудиту: координація діяльності підрозділів внутрішнього аудиту в системі державного органу</w:t>
            </w:r>
          </w:p>
        </w:tc>
      </w:tr>
      <w:tr w:rsidR="008D6C9A" w:rsidRPr="00F94C98" w:rsidTr="006F163D">
        <w:tc>
          <w:tcPr>
            <w:tcW w:w="173" w:type="pct"/>
            <w:gridSpan w:val="2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4343" w:type="pct"/>
            <w:gridSpan w:val="2"/>
            <w:shd w:val="clear" w:color="auto" w:fill="auto"/>
          </w:tcPr>
          <w:p w:rsidR="008D6C9A" w:rsidRPr="00F94C98" w:rsidRDefault="008D6C9A" w:rsidP="004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Аналіз підрозділом внутрішнього аудиту </w:t>
            </w:r>
            <w:r w:rsidR="00876562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обласної державної адміністрації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D4D04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баз даних; планів діяльності з внутрішнього аудиту; звітів</w:t>
            </w:r>
            <w:r w:rsidR="004D4D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D4D04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(ф.</w:t>
            </w:r>
            <w:r w:rsidR="004D4D04">
              <w:rPr>
                <w:rFonts w:ascii="Times New Roman" w:eastAsia="Calibri" w:hAnsi="Times New Roman" w:cs="Times New Roman"/>
                <w:sz w:val="23"/>
                <w:szCs w:val="23"/>
              </w:rPr>
              <w:t> № </w:t>
            </w:r>
            <w:r w:rsidR="004D4D04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1-ДВА) про результати діяльності підрозділу внутрішнього аудиту</w:t>
            </w:r>
            <w:r w:rsidR="004D4D04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4D4D04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D4D04">
              <w:rPr>
                <w:rFonts w:ascii="Times New Roman" w:eastAsia="Calibri" w:hAnsi="Times New Roman" w:cs="Times New Roman"/>
                <w:sz w:val="23"/>
                <w:szCs w:val="23"/>
              </w:rPr>
              <w:t>направлених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підрозділами внутрішнього аудиту</w:t>
            </w:r>
            <w:r w:rsidR="00F94C98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F94C98" w:rsidRPr="00F94C9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F94C98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посадовою особою, на яку покладено повноваження щодо здійснення внутрішнього аудиту</w:t>
            </w:r>
            <w:r w:rsidR="004D4D04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76562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структурн</w:t>
            </w:r>
            <w:r w:rsidR="00EE6DCF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ого</w:t>
            </w:r>
            <w:r w:rsidR="00876562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підрозділ</w:t>
            </w:r>
            <w:r w:rsidR="00E066B1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876562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обласної державної адміністрації, районних державних адміністрацій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√</w:t>
            </w:r>
          </w:p>
        </w:tc>
      </w:tr>
      <w:tr w:rsidR="008D6C9A" w:rsidRPr="00F94C98" w:rsidTr="006F163D">
        <w:tc>
          <w:tcPr>
            <w:tcW w:w="173" w:type="pct"/>
            <w:gridSpan w:val="2"/>
            <w:shd w:val="clear" w:color="auto" w:fill="auto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4343" w:type="pct"/>
            <w:gridSpan w:val="2"/>
            <w:shd w:val="clear" w:color="auto" w:fill="auto"/>
          </w:tcPr>
          <w:p w:rsidR="008D6C9A" w:rsidRPr="00F94C98" w:rsidRDefault="008D6C9A" w:rsidP="00A14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Здійснення підрозділом внутрішнього аудиту 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обласної державної адміністрації</w:t>
            </w:r>
            <w:r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методологічної, роз’яснювальної та консультаційної підтримки діяльності підрозділів внутрішнього аудиту</w:t>
            </w:r>
            <w:r w:rsidR="00F94C98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, посадових осіб, на яких покладено повноваження</w:t>
            </w:r>
            <w:r w:rsidR="004D4D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D4D04"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щодо здійснення внутрішнього аудиту</w:t>
            </w:r>
            <w:r w:rsidR="004D4D04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F94C98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структурн</w:t>
            </w:r>
            <w:r w:rsidR="00E066B1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ого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підрозділ</w:t>
            </w:r>
            <w:r w:rsidR="00E066B1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="007A1555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обласної державної адміністрації, районних державних адміністрацій</w:t>
            </w:r>
            <w:r w:rsidR="006F163D" w:rsidRPr="00F94C9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√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√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C9A" w:rsidRPr="00F94C98" w:rsidRDefault="008D6C9A" w:rsidP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94C98">
              <w:rPr>
                <w:rFonts w:ascii="Times New Roman" w:eastAsia="Times New Roman" w:hAnsi="Times New Roman" w:cs="Times New Roman"/>
                <w:sz w:val="23"/>
                <w:szCs w:val="23"/>
              </w:rPr>
              <w:t>√</w:t>
            </w:r>
          </w:p>
        </w:tc>
      </w:tr>
      <w:tr w:rsidR="00F07A01" w:rsidRPr="001A0624" w:rsidTr="008D6C9A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F07A01" w:rsidRPr="001A0624" w:rsidRDefault="00F07A01" w:rsidP="00197274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95327F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br w:type="page"/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IX. ОБСЯГИ РОБОЧОГО ЧАСУ НА ЗДІЙСНЕННЯ ВНУТРІШНІХ АУДИТІВ ТА ВИКОНАННЯ ЗАХОДІВ З ІНШОЇ ДІЯЛЬНОСТІ З ВНУТРІШНЬОГО АУДИТУ НА 202</w:t>
            </w:r>
            <w:r w:rsidR="001972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Pr="001A06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</w:tr>
    </w:tbl>
    <w:p w:rsidR="00F07A01" w:rsidRPr="008D7A55" w:rsidRDefault="00F07A01" w:rsidP="00F0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14837" w:type="dxa"/>
        <w:tblLook w:val="04A0" w:firstRow="1" w:lastRow="0" w:firstColumn="1" w:lastColumn="0" w:noHBand="0" w:noVBand="1"/>
      </w:tblPr>
      <w:tblGrid>
        <w:gridCol w:w="534"/>
        <w:gridCol w:w="3302"/>
        <w:gridCol w:w="1559"/>
        <w:gridCol w:w="1367"/>
        <w:gridCol w:w="1273"/>
        <w:gridCol w:w="1731"/>
        <w:gridCol w:w="1205"/>
        <w:gridCol w:w="160"/>
        <w:gridCol w:w="1583"/>
        <w:gridCol w:w="2123"/>
      </w:tblGrid>
      <w:tr w:rsidR="00197274" w:rsidRPr="00793422" w:rsidTr="00793422">
        <w:tc>
          <w:tcPr>
            <w:tcW w:w="534" w:type="dxa"/>
            <w:vMerge w:val="restart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№ з/п</w:t>
            </w:r>
          </w:p>
        </w:tc>
        <w:tc>
          <w:tcPr>
            <w:tcW w:w="3302" w:type="dxa"/>
            <w:vMerge w:val="restart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Посада працівника підрозділу внутрішнього аудиту</w:t>
            </w:r>
          </w:p>
        </w:tc>
        <w:tc>
          <w:tcPr>
            <w:tcW w:w="1559" w:type="dxa"/>
            <w:vMerge w:val="restart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Загальна кількість робочих днів на рік</w:t>
            </w:r>
          </w:p>
        </w:tc>
        <w:tc>
          <w:tcPr>
            <w:tcW w:w="1367" w:type="dxa"/>
            <w:vMerge w:val="restart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Кількість посад (за фактом)</w:t>
            </w:r>
          </w:p>
        </w:tc>
        <w:tc>
          <w:tcPr>
            <w:tcW w:w="1273" w:type="dxa"/>
            <w:vMerge w:val="restart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Загальний плановий обсяг робочого часу</w:t>
            </w: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 людино-дні</w:t>
            </w: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vMerge w:val="restart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Визначений коефіцієнт участі у здійсненні внутрішніх аудитів для відповідної посади</w:t>
            </w:r>
          </w:p>
        </w:tc>
        <w:tc>
          <w:tcPr>
            <w:tcW w:w="2948" w:type="dxa"/>
            <w:gridSpan w:val="3"/>
            <w:vAlign w:val="center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Плановий обсяг робочого часу на здійснення внутрішніх аудитів</w:t>
            </w: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 людино-дні</w:t>
            </w:r>
          </w:p>
        </w:tc>
        <w:tc>
          <w:tcPr>
            <w:tcW w:w="2123" w:type="dxa"/>
            <w:vMerge w:val="restart"/>
            <w:vAlign w:val="center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Плановий обсяг робочого часу на виконання заходів з іншої діяльності з внутрішнього аудиту, </w:t>
            </w: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людино-дні</w:t>
            </w:r>
          </w:p>
        </w:tc>
      </w:tr>
      <w:tr w:rsidR="00197274" w:rsidRPr="00793422" w:rsidTr="00793422">
        <w:tc>
          <w:tcPr>
            <w:tcW w:w="534" w:type="dxa"/>
            <w:vMerge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2" w:type="dxa"/>
            <w:vMerge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367" w:type="dxa"/>
            <w:vMerge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273" w:type="dxa"/>
            <w:vMerge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всього</w:t>
            </w:r>
          </w:p>
        </w:tc>
        <w:tc>
          <w:tcPr>
            <w:tcW w:w="1583" w:type="dxa"/>
            <w:vAlign w:val="center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у тому числі на планові внутрішні аудити</w:t>
            </w:r>
          </w:p>
        </w:tc>
        <w:tc>
          <w:tcPr>
            <w:tcW w:w="2123" w:type="dxa"/>
            <w:vMerge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7274" w:rsidRPr="00793422" w:rsidTr="00793422">
        <w:tc>
          <w:tcPr>
            <w:tcW w:w="534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302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273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731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365" w:type="dxa"/>
            <w:gridSpan w:val="2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583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23" w:type="dxa"/>
            <w:shd w:val="clear" w:color="auto" w:fill="E7E6E6" w:themeFill="background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9</w:t>
            </w:r>
          </w:p>
        </w:tc>
      </w:tr>
      <w:tr w:rsidR="00197274" w:rsidRPr="00793422" w:rsidTr="00793422">
        <w:tc>
          <w:tcPr>
            <w:tcW w:w="14837" w:type="dxa"/>
            <w:gridSpan w:val="10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 xml:space="preserve">Відділ внутрішнього аудиту Дніпропетровської </w:t>
            </w:r>
            <w:r w:rsidR="00DA3ACA"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обласної державної адміністрації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відділу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731" w:type="dxa"/>
          </w:tcPr>
          <w:p w:rsidR="00197274" w:rsidRPr="00793422" w:rsidRDefault="00197274" w:rsidP="004A1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</w:t>
            </w:r>
            <w:r w:rsidR="004A1581"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197274" w:rsidRPr="00793422" w:rsidRDefault="002C2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22</w:t>
            </w:r>
          </w:p>
        </w:tc>
        <w:tc>
          <w:tcPr>
            <w:tcW w:w="1743" w:type="dxa"/>
            <w:gridSpan w:val="2"/>
          </w:tcPr>
          <w:p w:rsidR="00197274" w:rsidRPr="00793422" w:rsidRDefault="00C246EC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123" w:type="dxa"/>
          </w:tcPr>
          <w:p w:rsidR="00197274" w:rsidRPr="00793422" w:rsidRDefault="00C246EC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194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Заступник начальника відділу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C246EC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731" w:type="dxa"/>
          </w:tcPr>
          <w:p w:rsidR="00197274" w:rsidRPr="00793422" w:rsidRDefault="00197274" w:rsidP="004A1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</w:t>
            </w:r>
            <w:r w:rsidR="004A1581"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05" w:type="dxa"/>
          </w:tcPr>
          <w:p w:rsidR="00197274" w:rsidRPr="00793422" w:rsidRDefault="00C246EC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105</w:t>
            </w:r>
          </w:p>
        </w:tc>
        <w:tc>
          <w:tcPr>
            <w:tcW w:w="1743" w:type="dxa"/>
            <w:gridSpan w:val="2"/>
          </w:tcPr>
          <w:p w:rsidR="00197274" w:rsidRPr="00793422" w:rsidRDefault="00C246EC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123" w:type="dxa"/>
          </w:tcPr>
          <w:p w:rsidR="00197274" w:rsidRPr="00793422" w:rsidRDefault="00C246EC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106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Головний спеціаліст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1205" w:type="dxa"/>
          </w:tcPr>
          <w:p w:rsidR="00197274" w:rsidRPr="00793422" w:rsidRDefault="0089584D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1743" w:type="dxa"/>
            <w:gridSpan w:val="2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2123" w:type="dxa"/>
          </w:tcPr>
          <w:p w:rsidR="00197274" w:rsidRPr="00793422" w:rsidRDefault="0089584D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197274" w:rsidRPr="00793422" w:rsidTr="00793422">
        <w:tc>
          <w:tcPr>
            <w:tcW w:w="3836" w:type="dxa"/>
            <w:gridSpan w:val="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Всього: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367" w:type="dxa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848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05" w:type="dxa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506</w:t>
            </w:r>
          </w:p>
        </w:tc>
        <w:tc>
          <w:tcPr>
            <w:tcW w:w="1743" w:type="dxa"/>
            <w:gridSpan w:val="2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379</w:t>
            </w:r>
          </w:p>
        </w:tc>
        <w:tc>
          <w:tcPr>
            <w:tcW w:w="2123" w:type="dxa"/>
          </w:tcPr>
          <w:p w:rsidR="00197274" w:rsidRPr="00793422" w:rsidRDefault="0089584D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342</w:t>
            </w:r>
          </w:p>
        </w:tc>
      </w:tr>
      <w:tr w:rsidR="00197274" w:rsidRPr="00793422" w:rsidTr="00793422">
        <w:tc>
          <w:tcPr>
            <w:tcW w:w="14837" w:type="dxa"/>
            <w:gridSpan w:val="10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 xml:space="preserve">Сектор з питань внутрішнього аудиту </w:t>
            </w:r>
            <w:proofErr w:type="spellStart"/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Кам’янської</w:t>
            </w:r>
            <w:proofErr w:type="spellEnd"/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 xml:space="preserve"> районної державної адміністрації Дніпропетровської області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Головний спеціаліст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4A1581" w:rsidP="008C4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C4C5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1" w:type="dxa"/>
          </w:tcPr>
          <w:p w:rsidR="00197274" w:rsidRPr="00793422" w:rsidRDefault="00197274" w:rsidP="008C4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</w:t>
            </w:r>
            <w:r w:rsidR="008C4C5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5" w:type="dxa"/>
          </w:tcPr>
          <w:p w:rsidR="00197274" w:rsidRPr="00793422" w:rsidRDefault="008C4C5C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1743" w:type="dxa"/>
            <w:gridSpan w:val="2"/>
          </w:tcPr>
          <w:p w:rsidR="00197274" w:rsidRPr="00793422" w:rsidRDefault="008C4C5C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23" w:type="dxa"/>
          </w:tcPr>
          <w:p w:rsidR="00197274" w:rsidRPr="00793422" w:rsidRDefault="008C4C5C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88</w:t>
            </w:r>
          </w:p>
        </w:tc>
      </w:tr>
      <w:tr w:rsidR="00197274" w:rsidRPr="00793422" w:rsidTr="00793422">
        <w:tc>
          <w:tcPr>
            <w:tcW w:w="3836" w:type="dxa"/>
            <w:gridSpan w:val="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Всього: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4A1581" w:rsidP="008C4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 w:rsidR="008C4C5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05" w:type="dxa"/>
          </w:tcPr>
          <w:p w:rsidR="00197274" w:rsidRPr="00793422" w:rsidRDefault="00B4244D" w:rsidP="008C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1</w:t>
            </w:r>
            <w:r w:rsidR="008C4C5C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33</w:t>
            </w:r>
          </w:p>
        </w:tc>
        <w:tc>
          <w:tcPr>
            <w:tcW w:w="1743" w:type="dxa"/>
            <w:gridSpan w:val="2"/>
          </w:tcPr>
          <w:p w:rsidR="00197274" w:rsidRPr="00793422" w:rsidRDefault="008C4C5C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2123" w:type="dxa"/>
          </w:tcPr>
          <w:p w:rsidR="00197274" w:rsidRPr="00793422" w:rsidRDefault="008C4C5C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88</w:t>
            </w:r>
          </w:p>
        </w:tc>
      </w:tr>
      <w:tr w:rsidR="00197274" w:rsidRPr="00793422" w:rsidTr="00793422">
        <w:tc>
          <w:tcPr>
            <w:tcW w:w="14837" w:type="dxa"/>
            <w:gridSpan w:val="10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Відділ внутрішнього аудиту Нікопольської районної державної адміністрації Дніпропетровської області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відділу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731" w:type="dxa"/>
          </w:tcPr>
          <w:p w:rsidR="00197274" w:rsidRPr="00793422" w:rsidRDefault="00197274" w:rsidP="00B42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</w:t>
            </w:r>
            <w:r w:rsidR="00B4244D"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5" w:type="dxa"/>
          </w:tcPr>
          <w:p w:rsidR="00197274" w:rsidRPr="00793422" w:rsidRDefault="00B4244D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743" w:type="dxa"/>
            <w:gridSpan w:val="2"/>
          </w:tcPr>
          <w:p w:rsidR="00197274" w:rsidRPr="00793422" w:rsidRDefault="00EB48F9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123" w:type="dxa"/>
          </w:tcPr>
          <w:p w:rsidR="00197274" w:rsidRPr="00793422" w:rsidRDefault="00485795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86</w:t>
            </w:r>
          </w:p>
        </w:tc>
      </w:tr>
      <w:tr w:rsidR="00197274" w:rsidRPr="00793422" w:rsidTr="00793422">
        <w:tc>
          <w:tcPr>
            <w:tcW w:w="3836" w:type="dxa"/>
            <w:gridSpan w:val="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Всього: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216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05" w:type="dxa"/>
          </w:tcPr>
          <w:p w:rsidR="00197274" w:rsidRPr="00793422" w:rsidRDefault="00B4244D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130</w:t>
            </w:r>
          </w:p>
        </w:tc>
        <w:tc>
          <w:tcPr>
            <w:tcW w:w="1743" w:type="dxa"/>
            <w:gridSpan w:val="2"/>
          </w:tcPr>
          <w:p w:rsidR="00197274" w:rsidRPr="00793422" w:rsidRDefault="00EB48F9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98</w:t>
            </w:r>
          </w:p>
        </w:tc>
        <w:tc>
          <w:tcPr>
            <w:tcW w:w="2123" w:type="dxa"/>
          </w:tcPr>
          <w:p w:rsidR="00197274" w:rsidRPr="00793422" w:rsidRDefault="00485795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86</w:t>
            </w:r>
          </w:p>
        </w:tc>
      </w:tr>
      <w:tr w:rsidR="00197274" w:rsidRPr="00793422" w:rsidTr="00793422">
        <w:tc>
          <w:tcPr>
            <w:tcW w:w="14837" w:type="dxa"/>
            <w:gridSpan w:val="10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 xml:space="preserve">Головний спеціаліст з питань внутрішнього аудиту Департаменту капітального будівництва Дніпропетровської </w:t>
            </w:r>
            <w:r w:rsidR="00DA3ACA"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обласної державної адміністрації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Головний спеціаліст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197274" w:rsidP="00DE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  <w:r w:rsidR="00DE60D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1" w:type="dxa"/>
          </w:tcPr>
          <w:p w:rsidR="00197274" w:rsidRPr="00793422" w:rsidRDefault="00197274" w:rsidP="00DE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</w:t>
            </w:r>
            <w:r w:rsidR="00DE60D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5" w:type="dxa"/>
          </w:tcPr>
          <w:p w:rsidR="00197274" w:rsidRPr="00793422" w:rsidRDefault="00DE60D6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132</w:t>
            </w:r>
          </w:p>
        </w:tc>
        <w:tc>
          <w:tcPr>
            <w:tcW w:w="1743" w:type="dxa"/>
            <w:gridSpan w:val="2"/>
          </w:tcPr>
          <w:p w:rsidR="00197274" w:rsidRPr="00793422" w:rsidRDefault="00DE60D6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123" w:type="dxa"/>
          </w:tcPr>
          <w:p w:rsidR="00197274" w:rsidRPr="00793422" w:rsidRDefault="00DE60D6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88</w:t>
            </w:r>
          </w:p>
        </w:tc>
      </w:tr>
      <w:tr w:rsidR="00197274" w:rsidRPr="00793422" w:rsidTr="00793422">
        <w:tc>
          <w:tcPr>
            <w:tcW w:w="3836" w:type="dxa"/>
            <w:gridSpan w:val="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Всього: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197274" w:rsidP="00DE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</w:t>
            </w:r>
            <w:r w:rsidR="00DE60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05" w:type="dxa"/>
          </w:tcPr>
          <w:p w:rsidR="00197274" w:rsidRPr="00793422" w:rsidRDefault="00DE60D6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132</w:t>
            </w:r>
          </w:p>
        </w:tc>
        <w:tc>
          <w:tcPr>
            <w:tcW w:w="1743" w:type="dxa"/>
            <w:gridSpan w:val="2"/>
          </w:tcPr>
          <w:p w:rsidR="00197274" w:rsidRPr="00793422" w:rsidRDefault="00DE60D6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99</w:t>
            </w:r>
          </w:p>
        </w:tc>
        <w:tc>
          <w:tcPr>
            <w:tcW w:w="2123" w:type="dxa"/>
          </w:tcPr>
          <w:p w:rsidR="00197274" w:rsidRPr="00793422" w:rsidRDefault="00DE60D6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88</w:t>
            </w:r>
          </w:p>
        </w:tc>
      </w:tr>
      <w:tr w:rsidR="00197274" w:rsidRPr="00793422" w:rsidTr="00793422">
        <w:tc>
          <w:tcPr>
            <w:tcW w:w="14837" w:type="dxa"/>
            <w:gridSpan w:val="10"/>
          </w:tcPr>
          <w:p w:rsidR="00197274" w:rsidRPr="00793422" w:rsidRDefault="00197274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</w:rPr>
              <w:t>Головний спеціаліст з внутрішнього аудиту апарату Криворізької районної державної адміністрації Дніпропетровської області</w:t>
            </w:r>
          </w:p>
        </w:tc>
      </w:tr>
      <w:tr w:rsidR="00197274" w:rsidRPr="00793422" w:rsidTr="00793422">
        <w:tc>
          <w:tcPr>
            <w:tcW w:w="534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02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Головний спеціаліст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9E7A6E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1731" w:type="dxa"/>
          </w:tcPr>
          <w:p w:rsidR="00197274" w:rsidRPr="00793422" w:rsidRDefault="00197274" w:rsidP="004A1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0,</w:t>
            </w:r>
            <w:r w:rsidR="004A1581" w:rsidRPr="00793422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05" w:type="dxa"/>
          </w:tcPr>
          <w:p w:rsidR="00197274" w:rsidRPr="00793422" w:rsidRDefault="009E7A6E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151</w:t>
            </w:r>
          </w:p>
        </w:tc>
        <w:tc>
          <w:tcPr>
            <w:tcW w:w="1743" w:type="dxa"/>
            <w:gridSpan w:val="2"/>
          </w:tcPr>
          <w:p w:rsidR="00197274" w:rsidRPr="00793422" w:rsidRDefault="009E7A6E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123" w:type="dxa"/>
          </w:tcPr>
          <w:p w:rsidR="00197274" w:rsidRPr="00793422" w:rsidRDefault="009E7A6E" w:rsidP="0086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65</w:t>
            </w:r>
          </w:p>
        </w:tc>
      </w:tr>
      <w:tr w:rsidR="00197274" w:rsidRPr="00793422" w:rsidTr="00793422">
        <w:tc>
          <w:tcPr>
            <w:tcW w:w="3836" w:type="dxa"/>
            <w:gridSpan w:val="2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Всього: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367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97274" w:rsidRPr="00793422" w:rsidRDefault="009E7A6E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216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05" w:type="dxa"/>
          </w:tcPr>
          <w:p w:rsidR="00197274" w:rsidRPr="00793422" w:rsidRDefault="009E7A6E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151</w:t>
            </w:r>
          </w:p>
        </w:tc>
        <w:tc>
          <w:tcPr>
            <w:tcW w:w="1743" w:type="dxa"/>
            <w:gridSpan w:val="2"/>
          </w:tcPr>
          <w:p w:rsidR="00197274" w:rsidRPr="00793422" w:rsidRDefault="009E7A6E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113</w:t>
            </w:r>
          </w:p>
        </w:tc>
        <w:tc>
          <w:tcPr>
            <w:tcW w:w="2123" w:type="dxa"/>
          </w:tcPr>
          <w:p w:rsidR="00197274" w:rsidRPr="00793422" w:rsidRDefault="009E7A6E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65</w:t>
            </w:r>
          </w:p>
        </w:tc>
      </w:tr>
      <w:tr w:rsidR="00197274" w:rsidRPr="00793422" w:rsidTr="00793422">
        <w:tc>
          <w:tcPr>
            <w:tcW w:w="3836" w:type="dxa"/>
            <w:gridSpan w:val="2"/>
          </w:tcPr>
          <w:p w:rsidR="00197274" w:rsidRPr="00793422" w:rsidRDefault="00197274" w:rsidP="00793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системі</w:t>
            </w:r>
            <w:r w:rsid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державного органу:</w:t>
            </w:r>
          </w:p>
        </w:tc>
        <w:tc>
          <w:tcPr>
            <w:tcW w:w="1559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367" w:type="dxa"/>
          </w:tcPr>
          <w:p w:rsidR="00197274" w:rsidRPr="00793422" w:rsidRDefault="000D606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73" w:type="dxa"/>
          </w:tcPr>
          <w:p w:rsidR="00197274" w:rsidRPr="00793422" w:rsidRDefault="00C52A22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1721</w:t>
            </w:r>
          </w:p>
        </w:tc>
        <w:tc>
          <w:tcPr>
            <w:tcW w:w="1731" w:type="dxa"/>
          </w:tcPr>
          <w:p w:rsidR="00197274" w:rsidRPr="00793422" w:rsidRDefault="00197274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4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05" w:type="dxa"/>
          </w:tcPr>
          <w:p w:rsidR="00197274" w:rsidRPr="00793422" w:rsidRDefault="00C52A22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1052</w:t>
            </w:r>
          </w:p>
        </w:tc>
        <w:tc>
          <w:tcPr>
            <w:tcW w:w="1743" w:type="dxa"/>
            <w:gridSpan w:val="2"/>
          </w:tcPr>
          <w:p w:rsidR="00197274" w:rsidRPr="00793422" w:rsidRDefault="00C52A22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789</w:t>
            </w:r>
          </w:p>
        </w:tc>
        <w:tc>
          <w:tcPr>
            <w:tcW w:w="2123" w:type="dxa"/>
          </w:tcPr>
          <w:p w:rsidR="00197274" w:rsidRPr="00793422" w:rsidRDefault="00C52A22" w:rsidP="008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669</w:t>
            </w:r>
          </w:p>
        </w:tc>
      </w:tr>
    </w:tbl>
    <w:p w:rsidR="00F07A01" w:rsidRPr="008D7A55" w:rsidRDefault="00F07A01" w:rsidP="00F07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A1B62" w:rsidRDefault="00EA1B62" w:rsidP="00EA1B62">
      <w:pPr>
        <w:autoSpaceDE w:val="0"/>
        <w:autoSpaceDN w:val="0"/>
        <w:adjustRightInd w:val="0"/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45DE2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DE2">
        <w:rPr>
          <w:rFonts w:ascii="Times New Roman" w:eastAsia="Times New Roman" w:hAnsi="Times New Roman" w:cs="Times New Roman"/>
          <w:sz w:val="24"/>
          <w:szCs w:val="24"/>
        </w:rPr>
        <w:t xml:space="preserve">відділу </w:t>
      </w:r>
    </w:p>
    <w:p w:rsidR="00EA1B62" w:rsidRPr="00845DE2" w:rsidRDefault="00EA1B62" w:rsidP="00EA1B62">
      <w:pPr>
        <w:autoSpaceDE w:val="0"/>
        <w:autoSpaceDN w:val="0"/>
        <w:adjustRightInd w:val="0"/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845DE2">
        <w:rPr>
          <w:rFonts w:ascii="Times New Roman" w:eastAsia="Times New Roman" w:hAnsi="Times New Roman" w:cs="Times New Roman"/>
          <w:sz w:val="24"/>
          <w:szCs w:val="24"/>
        </w:rPr>
        <w:t>внутрішнього аудиту</w:t>
      </w:r>
      <w:r w:rsidRPr="00C72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DE2">
        <w:rPr>
          <w:rFonts w:ascii="Times New Roman" w:eastAsia="Times New Roman" w:hAnsi="Times New Roman" w:cs="Times New Roman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асної </w:t>
      </w:r>
      <w:r w:rsidRPr="00845DE2">
        <w:rPr>
          <w:rFonts w:ascii="Times New Roman" w:eastAsia="Times New Roman" w:hAnsi="Times New Roman" w:cs="Times New Roman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sz w:val="24"/>
          <w:szCs w:val="24"/>
        </w:rPr>
        <w:t>вної а</w:t>
      </w:r>
      <w:r w:rsidRPr="00845DE2">
        <w:rPr>
          <w:rFonts w:ascii="Times New Roman" w:eastAsia="Times New Roman" w:hAnsi="Times New Roman" w:cs="Times New Roman"/>
          <w:sz w:val="24"/>
          <w:szCs w:val="24"/>
        </w:rPr>
        <w:t>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B450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845DE2">
        <w:rPr>
          <w:rFonts w:ascii="Times New Roman" w:eastAsia="Times New Roman" w:hAnsi="Times New Roman" w:cs="Times New Roman"/>
          <w:sz w:val="24"/>
          <w:szCs w:val="24"/>
        </w:rPr>
        <w:t xml:space="preserve">Олена ЮРИНА </w:t>
      </w:r>
    </w:p>
    <w:p w:rsidR="00B75C89" w:rsidRDefault="00B75C89" w:rsidP="00F07A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0624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__</w:t>
      </w:r>
    </w:p>
    <w:p w:rsidR="00C20D62" w:rsidRPr="00EA1B62" w:rsidRDefault="00EA1B62" w:rsidP="00F9239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 </w:t>
      </w:r>
      <w:r w:rsidR="00F07A01" w:rsidRPr="00EA1B62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(дата</w:t>
      </w:r>
      <w:r w:rsidR="00F07A01" w:rsidRPr="00EA1B62">
        <w:rPr>
          <w:rFonts w:ascii="Times New Roman" w:eastAsia="Times New Roman" w:hAnsi="Times New Roman" w:cs="Times New Roman"/>
          <w:i/>
          <w:sz w:val="20"/>
          <w:szCs w:val="20"/>
        </w:rPr>
        <w:t xml:space="preserve"> складання зведеного плану)</w:t>
      </w:r>
      <w:bookmarkStart w:id="2" w:name="_Додаток_6._Форма"/>
      <w:bookmarkStart w:id="3" w:name="_Додаток_15._Форма"/>
      <w:bookmarkEnd w:id="2"/>
      <w:bookmarkEnd w:id="3"/>
    </w:p>
    <w:sectPr w:rsidR="00C20D62" w:rsidRPr="00EA1B62" w:rsidSect="008D7A55">
      <w:headerReference w:type="even" r:id="rId11"/>
      <w:headerReference w:type="default" r:id="rId12"/>
      <w:pgSz w:w="16839" w:h="11907" w:orient="landscape" w:code="9"/>
      <w:pgMar w:top="1134" w:right="567" w:bottom="1134" w:left="1701" w:header="79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0B" w:rsidRDefault="0048150B" w:rsidP="00F07A01">
      <w:pPr>
        <w:spacing w:after="0" w:line="240" w:lineRule="auto"/>
      </w:pPr>
      <w:r>
        <w:separator/>
      </w:r>
    </w:p>
  </w:endnote>
  <w:endnote w:type="continuationSeparator" w:id="0">
    <w:p w:rsidR="0048150B" w:rsidRDefault="0048150B" w:rsidP="00F0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0B" w:rsidRDefault="0048150B" w:rsidP="00F07A01">
      <w:pPr>
        <w:spacing w:after="0" w:line="240" w:lineRule="auto"/>
      </w:pPr>
      <w:r>
        <w:separator/>
      </w:r>
    </w:p>
  </w:footnote>
  <w:footnote w:type="continuationSeparator" w:id="0">
    <w:p w:rsidR="0048150B" w:rsidRDefault="0048150B" w:rsidP="00F0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A54" w:rsidRPr="00B255EE" w:rsidRDefault="00B33A54" w:rsidP="008D6C9A">
    <w:pPr>
      <w:pStyle w:val="a3"/>
      <w:shd w:val="clear" w:color="auto" w:fill="DEEAF6" w:themeFill="accent1" w:themeFillTint="33"/>
      <w:jc w:val="center"/>
      <w:rPr>
        <w:rFonts w:ascii="Garamond" w:hAnsi="Garamond"/>
        <w:i/>
        <w:color w:val="1F4E79" w:themeColor="accent1" w:themeShade="80"/>
        <w:sz w:val="16"/>
        <w:szCs w:val="16"/>
      </w:rPr>
    </w:pPr>
    <w:r w:rsidRPr="00136A32">
      <w:rPr>
        <w:rFonts w:ascii="Garamond" w:hAnsi="Garamond"/>
        <w:b/>
        <w:i/>
        <w:color w:val="1F4E79" w:themeColor="accent1" w:themeShade="80"/>
        <w:sz w:val="28"/>
        <w:szCs w:val="28"/>
      </w:rPr>
      <w:t>М</w:t>
    </w:r>
    <w:r w:rsidRPr="00136A32">
      <w:rPr>
        <w:rFonts w:ascii="Garamond" w:hAnsi="Garamond"/>
        <w:i/>
        <w:color w:val="1F4E79" w:themeColor="accent1" w:themeShade="80"/>
        <w:sz w:val="28"/>
        <w:szCs w:val="28"/>
      </w:rPr>
      <w:t>етодичний посібник з ризик-орієнтованого планування діяльності з внутрішнього аудиту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52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33A54" w:rsidRPr="00F9239F" w:rsidRDefault="00B33A54" w:rsidP="00F9239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923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9239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923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74A2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F923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831"/>
    <w:multiLevelType w:val="hybridMultilevel"/>
    <w:tmpl w:val="88A25A78"/>
    <w:lvl w:ilvl="0" w:tplc="0BC4C4E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964588"/>
    <w:multiLevelType w:val="hybridMultilevel"/>
    <w:tmpl w:val="BF362EDC"/>
    <w:lvl w:ilvl="0" w:tplc="BD04C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2D94D122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9107C"/>
    <w:multiLevelType w:val="hybridMultilevel"/>
    <w:tmpl w:val="4BE2ABE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BD04CD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B9BD5" w:themeColor="accent1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852163"/>
    <w:multiLevelType w:val="hybridMultilevel"/>
    <w:tmpl w:val="181651DE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443BFA"/>
    <w:multiLevelType w:val="hybridMultilevel"/>
    <w:tmpl w:val="25D0E500"/>
    <w:lvl w:ilvl="0" w:tplc="B61CE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8F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6E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4A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E40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C3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42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C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7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CC25FA"/>
    <w:multiLevelType w:val="hybridMultilevel"/>
    <w:tmpl w:val="39BC5F9A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BD04CD4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5B9BD5" w:themeColor="accent1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CB63E8"/>
    <w:multiLevelType w:val="hybridMultilevel"/>
    <w:tmpl w:val="4F26F01A"/>
    <w:lvl w:ilvl="0" w:tplc="BD04CD40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B4A61CD"/>
    <w:multiLevelType w:val="hybridMultilevel"/>
    <w:tmpl w:val="65E0CC8C"/>
    <w:lvl w:ilvl="0" w:tplc="3C62C614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426229"/>
    <w:multiLevelType w:val="hybridMultilevel"/>
    <w:tmpl w:val="393286F8"/>
    <w:lvl w:ilvl="0" w:tplc="BD04CD40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>
    <w:nsid w:val="5D014707"/>
    <w:multiLevelType w:val="hybridMultilevel"/>
    <w:tmpl w:val="5F1C376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8A453C"/>
    <w:multiLevelType w:val="hybridMultilevel"/>
    <w:tmpl w:val="4ED49F22"/>
    <w:lvl w:ilvl="0" w:tplc="1B3625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34BB9"/>
    <w:multiLevelType w:val="hybridMultilevel"/>
    <w:tmpl w:val="9080EB1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BD04CD4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5B9BD5" w:themeColor="accent1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1D4BE3"/>
    <w:multiLevelType w:val="hybridMultilevel"/>
    <w:tmpl w:val="FE409C64"/>
    <w:lvl w:ilvl="0" w:tplc="51CED51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lang w:val="uk-UA"/>
      </w:rPr>
    </w:lvl>
    <w:lvl w:ilvl="1" w:tplc="D390ED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924383"/>
    <w:multiLevelType w:val="hybridMultilevel"/>
    <w:tmpl w:val="6960046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F275CB"/>
    <w:multiLevelType w:val="hybridMultilevel"/>
    <w:tmpl w:val="953CB33C"/>
    <w:lvl w:ilvl="0" w:tplc="D390E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01"/>
    <w:rsid w:val="00011AB3"/>
    <w:rsid w:val="00061C7D"/>
    <w:rsid w:val="00071065"/>
    <w:rsid w:val="0007741E"/>
    <w:rsid w:val="000A75F5"/>
    <w:rsid w:val="000C5D8B"/>
    <w:rsid w:val="000D6064"/>
    <w:rsid w:val="000E18CD"/>
    <w:rsid w:val="00113DEF"/>
    <w:rsid w:val="001216AD"/>
    <w:rsid w:val="00131304"/>
    <w:rsid w:val="00132023"/>
    <w:rsid w:val="00136B06"/>
    <w:rsid w:val="00141A4B"/>
    <w:rsid w:val="00150CA4"/>
    <w:rsid w:val="00155167"/>
    <w:rsid w:val="00183B26"/>
    <w:rsid w:val="00197274"/>
    <w:rsid w:val="001B5E7E"/>
    <w:rsid w:val="001C7D97"/>
    <w:rsid w:val="001D281F"/>
    <w:rsid w:val="001E21BF"/>
    <w:rsid w:val="001E442E"/>
    <w:rsid w:val="001F6D2F"/>
    <w:rsid w:val="00201F3C"/>
    <w:rsid w:val="00217021"/>
    <w:rsid w:val="002216DD"/>
    <w:rsid w:val="0022512D"/>
    <w:rsid w:val="00237D61"/>
    <w:rsid w:val="00261B0E"/>
    <w:rsid w:val="00296F33"/>
    <w:rsid w:val="002975CE"/>
    <w:rsid w:val="002A6388"/>
    <w:rsid w:val="002B4088"/>
    <w:rsid w:val="002C2274"/>
    <w:rsid w:val="002C3EBF"/>
    <w:rsid w:val="002D5191"/>
    <w:rsid w:val="002F1F34"/>
    <w:rsid w:val="002F5D14"/>
    <w:rsid w:val="00325531"/>
    <w:rsid w:val="0033170D"/>
    <w:rsid w:val="00344B8C"/>
    <w:rsid w:val="00347483"/>
    <w:rsid w:val="00370294"/>
    <w:rsid w:val="00377965"/>
    <w:rsid w:val="00384F2F"/>
    <w:rsid w:val="003B7ADE"/>
    <w:rsid w:val="003D7547"/>
    <w:rsid w:val="00400DBB"/>
    <w:rsid w:val="0041531B"/>
    <w:rsid w:val="00464126"/>
    <w:rsid w:val="0048150B"/>
    <w:rsid w:val="00485795"/>
    <w:rsid w:val="004A1581"/>
    <w:rsid w:val="004A776D"/>
    <w:rsid w:val="004B1B3B"/>
    <w:rsid w:val="004B7F1C"/>
    <w:rsid w:val="004C63ED"/>
    <w:rsid w:val="004D4D04"/>
    <w:rsid w:val="004F7406"/>
    <w:rsid w:val="00543C74"/>
    <w:rsid w:val="00550669"/>
    <w:rsid w:val="0055504D"/>
    <w:rsid w:val="00567942"/>
    <w:rsid w:val="00586E72"/>
    <w:rsid w:val="005B6640"/>
    <w:rsid w:val="005F5AAA"/>
    <w:rsid w:val="00600677"/>
    <w:rsid w:val="0060075D"/>
    <w:rsid w:val="00606DD9"/>
    <w:rsid w:val="00640AD9"/>
    <w:rsid w:val="00644C70"/>
    <w:rsid w:val="00654986"/>
    <w:rsid w:val="006B74A2"/>
    <w:rsid w:val="006C046D"/>
    <w:rsid w:val="006E1E8B"/>
    <w:rsid w:val="006E6D12"/>
    <w:rsid w:val="006F163D"/>
    <w:rsid w:val="006F224A"/>
    <w:rsid w:val="007030E0"/>
    <w:rsid w:val="007341B2"/>
    <w:rsid w:val="007400C3"/>
    <w:rsid w:val="00793422"/>
    <w:rsid w:val="007A1555"/>
    <w:rsid w:val="007A57D7"/>
    <w:rsid w:val="007B1D61"/>
    <w:rsid w:val="007D05A5"/>
    <w:rsid w:val="007F19D9"/>
    <w:rsid w:val="007F3C92"/>
    <w:rsid w:val="007F638F"/>
    <w:rsid w:val="007F7B8C"/>
    <w:rsid w:val="0080401E"/>
    <w:rsid w:val="00806808"/>
    <w:rsid w:val="0081201E"/>
    <w:rsid w:val="00833290"/>
    <w:rsid w:val="0084206C"/>
    <w:rsid w:val="00845D91"/>
    <w:rsid w:val="00860B05"/>
    <w:rsid w:val="00876562"/>
    <w:rsid w:val="00877B27"/>
    <w:rsid w:val="0088246B"/>
    <w:rsid w:val="0089584D"/>
    <w:rsid w:val="00896AA7"/>
    <w:rsid w:val="008C4C5C"/>
    <w:rsid w:val="008D6C9A"/>
    <w:rsid w:val="008D7A55"/>
    <w:rsid w:val="00920ED1"/>
    <w:rsid w:val="009262F3"/>
    <w:rsid w:val="00927DAC"/>
    <w:rsid w:val="009473B1"/>
    <w:rsid w:val="00947898"/>
    <w:rsid w:val="0095327F"/>
    <w:rsid w:val="00964352"/>
    <w:rsid w:val="00993E84"/>
    <w:rsid w:val="009A0AA3"/>
    <w:rsid w:val="009A451D"/>
    <w:rsid w:val="009E7A6E"/>
    <w:rsid w:val="00A14057"/>
    <w:rsid w:val="00A1498A"/>
    <w:rsid w:val="00A91875"/>
    <w:rsid w:val="00A97741"/>
    <w:rsid w:val="00AA7F07"/>
    <w:rsid w:val="00AC6812"/>
    <w:rsid w:val="00B33A54"/>
    <w:rsid w:val="00B35AC3"/>
    <w:rsid w:val="00B4244D"/>
    <w:rsid w:val="00B5611D"/>
    <w:rsid w:val="00B748DC"/>
    <w:rsid w:val="00B75C89"/>
    <w:rsid w:val="00B84607"/>
    <w:rsid w:val="00BA783A"/>
    <w:rsid w:val="00BD062A"/>
    <w:rsid w:val="00C20D62"/>
    <w:rsid w:val="00C246EC"/>
    <w:rsid w:val="00C52A22"/>
    <w:rsid w:val="00C94EFA"/>
    <w:rsid w:val="00CC1D2A"/>
    <w:rsid w:val="00CC218F"/>
    <w:rsid w:val="00CC6A1E"/>
    <w:rsid w:val="00CE114B"/>
    <w:rsid w:val="00CE3B43"/>
    <w:rsid w:val="00D63296"/>
    <w:rsid w:val="00D84649"/>
    <w:rsid w:val="00D87872"/>
    <w:rsid w:val="00DA3ACA"/>
    <w:rsid w:val="00DB450E"/>
    <w:rsid w:val="00DB7C50"/>
    <w:rsid w:val="00DE60D6"/>
    <w:rsid w:val="00DF1B08"/>
    <w:rsid w:val="00E066B1"/>
    <w:rsid w:val="00E075A0"/>
    <w:rsid w:val="00E23EE2"/>
    <w:rsid w:val="00E263F0"/>
    <w:rsid w:val="00E3748E"/>
    <w:rsid w:val="00E45110"/>
    <w:rsid w:val="00E454B1"/>
    <w:rsid w:val="00E620CD"/>
    <w:rsid w:val="00E63405"/>
    <w:rsid w:val="00E63C78"/>
    <w:rsid w:val="00E83BBA"/>
    <w:rsid w:val="00E93D3F"/>
    <w:rsid w:val="00EA1B62"/>
    <w:rsid w:val="00EA1D15"/>
    <w:rsid w:val="00EA56D7"/>
    <w:rsid w:val="00EA6973"/>
    <w:rsid w:val="00EA6BA6"/>
    <w:rsid w:val="00EB48F9"/>
    <w:rsid w:val="00EB57EA"/>
    <w:rsid w:val="00EC184D"/>
    <w:rsid w:val="00EE6DCF"/>
    <w:rsid w:val="00EF376A"/>
    <w:rsid w:val="00F07A01"/>
    <w:rsid w:val="00F2647A"/>
    <w:rsid w:val="00F2704A"/>
    <w:rsid w:val="00F314AB"/>
    <w:rsid w:val="00F42024"/>
    <w:rsid w:val="00F50916"/>
    <w:rsid w:val="00F86F87"/>
    <w:rsid w:val="00F9239F"/>
    <w:rsid w:val="00F94C98"/>
    <w:rsid w:val="00FD7423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01"/>
    <w:pPr>
      <w:spacing w:after="120" w:line="264" w:lineRule="auto"/>
      <w:jc w:val="left"/>
    </w:pPr>
    <w:rPr>
      <w:rFonts w:asciiTheme="minorHAnsi" w:eastAsiaTheme="minorEastAsia" w:hAnsiTheme="minorHAnsi" w:cstheme="minorBid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07A0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0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D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A0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0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7A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7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A01"/>
    <w:rPr>
      <w:rFonts w:asciiTheme="minorHAnsi" w:eastAsiaTheme="minorEastAsia" w:hAnsiTheme="minorHAnsi" w:cstheme="minorBidi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07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A01"/>
    <w:rPr>
      <w:rFonts w:asciiTheme="minorHAnsi" w:eastAsiaTheme="minorEastAsia" w:hAnsiTheme="minorHAnsi" w:cstheme="minorBidi"/>
      <w:sz w:val="21"/>
      <w:szCs w:val="21"/>
    </w:rPr>
  </w:style>
  <w:style w:type="table" w:styleId="a7">
    <w:name w:val="Table Grid"/>
    <w:basedOn w:val="a1"/>
    <w:uiPriority w:val="39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F07A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9">
    <w:name w:val="Название Знак"/>
    <w:basedOn w:val="a0"/>
    <w:link w:val="a8"/>
    <w:uiPriority w:val="10"/>
    <w:rsid w:val="00F07A0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a">
    <w:name w:val="TOC Heading"/>
    <w:basedOn w:val="1"/>
    <w:next w:val="a"/>
    <w:uiPriority w:val="39"/>
    <w:unhideWhenUsed/>
    <w:qFormat/>
    <w:rsid w:val="00F07A01"/>
    <w:pPr>
      <w:outlineLvl w:val="9"/>
    </w:pPr>
  </w:style>
  <w:style w:type="paragraph" w:styleId="ab">
    <w:name w:val="List Paragraph"/>
    <w:basedOn w:val="a"/>
    <w:uiPriority w:val="34"/>
    <w:qFormat/>
    <w:rsid w:val="00F07A01"/>
    <w:pPr>
      <w:ind w:left="720"/>
      <w:contextualSpacing/>
    </w:pPr>
  </w:style>
  <w:style w:type="paragraph" w:customStyle="1" w:styleId="ParagraphStyle">
    <w:name w:val="Paragraph Style"/>
    <w:rsid w:val="00F07A01"/>
    <w:pPr>
      <w:autoSpaceDE w:val="0"/>
      <w:autoSpaceDN w:val="0"/>
      <w:adjustRightInd w:val="0"/>
      <w:jc w:val="left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F07A01"/>
    <w:pPr>
      <w:tabs>
        <w:tab w:val="right" w:leader="dot" w:pos="9629"/>
      </w:tabs>
      <w:spacing w:after="0" w:line="240" w:lineRule="auto"/>
      <w:ind w:right="567"/>
      <w:jc w:val="both"/>
    </w:pPr>
    <w:rPr>
      <w:rFonts w:ascii="Garamond" w:eastAsiaTheme="majorEastAsia" w:hAnsi="Garamond" w:cstheme="majorBidi"/>
      <w:noProof/>
      <w:color w:val="000000" w:themeColor="text1"/>
      <w:sz w:val="28"/>
      <w:szCs w:val="28"/>
    </w:rPr>
  </w:style>
  <w:style w:type="character" w:styleId="ac">
    <w:name w:val="Hyperlink"/>
    <w:basedOn w:val="a0"/>
    <w:uiPriority w:val="99"/>
    <w:unhideWhenUsed/>
    <w:rsid w:val="00F07A01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F07A01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F07A01"/>
    <w:rPr>
      <w:rFonts w:eastAsia="Times New Roman" w:cs="Times New Roman"/>
      <w:szCs w:val="28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F07A01"/>
    <w:pPr>
      <w:tabs>
        <w:tab w:val="right" w:leader="dot" w:pos="9639"/>
      </w:tabs>
      <w:spacing w:after="20" w:line="240" w:lineRule="auto"/>
      <w:ind w:left="284"/>
      <w:jc w:val="both"/>
    </w:pPr>
    <w:rPr>
      <w:rFonts w:ascii="Garamond" w:hAnsi="Garamond"/>
      <w:noProof/>
      <w:color w:val="000000" w:themeColor="text1"/>
      <w:sz w:val="28"/>
      <w:szCs w:val="28"/>
    </w:rPr>
  </w:style>
  <w:style w:type="table" w:customStyle="1" w:styleId="12">
    <w:name w:val="Сітка таблиці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s">
    <w:name w:val="numbered paras"/>
    <w:basedOn w:val="a"/>
    <w:rsid w:val="00F07A01"/>
    <w:pPr>
      <w:widowControl w:val="0"/>
      <w:tabs>
        <w:tab w:val="num" w:pos="567"/>
      </w:tabs>
      <w:spacing w:before="120" w:line="240" w:lineRule="auto"/>
      <w:ind w:left="567" w:hanging="567"/>
      <w:jc w:val="both"/>
    </w:pPr>
    <w:rPr>
      <w:rFonts w:ascii="Cambria" w:eastAsia="Calibri" w:hAnsi="Cambria" w:cs="Cambria"/>
      <w:sz w:val="24"/>
      <w:szCs w:val="24"/>
      <w:lang w:val="en-GB" w:eastAsia="ru-RU"/>
    </w:rPr>
  </w:style>
  <w:style w:type="paragraph" w:styleId="af">
    <w:name w:val="footnote text"/>
    <w:basedOn w:val="a"/>
    <w:link w:val="af0"/>
    <w:uiPriority w:val="99"/>
    <w:semiHidden/>
    <w:rsid w:val="00F07A01"/>
    <w:pPr>
      <w:widowControl w:val="0"/>
      <w:spacing w:after="200" w:line="276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F07A01"/>
    <w:rPr>
      <w:rFonts w:ascii="Calibri" w:eastAsia="Times New Roman" w:hAnsi="Calibri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F07A01"/>
    <w:rPr>
      <w:vertAlign w:val="superscript"/>
    </w:rPr>
  </w:style>
  <w:style w:type="paragraph" w:customStyle="1" w:styleId="Default">
    <w:name w:val="Default"/>
    <w:rsid w:val="00F07A0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table" w:customStyle="1" w:styleId="22">
    <w:name w:val="Сітка таблиці2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F07A01"/>
    <w:rPr>
      <w:b/>
      <w:bCs/>
    </w:rPr>
  </w:style>
  <w:style w:type="table" w:customStyle="1" w:styleId="31">
    <w:name w:val="Сітка таблиці3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07A01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toc 3"/>
    <w:basedOn w:val="a"/>
    <w:next w:val="a"/>
    <w:autoRedefine/>
    <w:uiPriority w:val="39"/>
    <w:unhideWhenUsed/>
    <w:rsid w:val="00F07A01"/>
    <w:pPr>
      <w:tabs>
        <w:tab w:val="right" w:leader="dot" w:pos="8495"/>
      </w:tabs>
      <w:spacing w:after="100"/>
      <w:ind w:firstLine="142"/>
    </w:pPr>
  </w:style>
  <w:style w:type="paragraph" w:styleId="af4">
    <w:name w:val="No Spacing"/>
    <w:link w:val="af5"/>
    <w:uiPriority w:val="1"/>
    <w:qFormat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f5">
    <w:name w:val="Без интервала Знак"/>
    <w:basedOn w:val="a0"/>
    <w:link w:val="af4"/>
    <w:uiPriority w:val="1"/>
    <w:rsid w:val="00F07A01"/>
    <w:rPr>
      <w:rFonts w:asciiTheme="minorHAnsi" w:eastAsiaTheme="minorEastAsia" w:hAnsiTheme="minorHAnsi" w:cstheme="minorBidi"/>
      <w:sz w:val="21"/>
      <w:szCs w:val="21"/>
    </w:rPr>
  </w:style>
  <w:style w:type="paragraph" w:customStyle="1" w:styleId="33">
    <w:name w:val="Абзац списку3"/>
    <w:basedOn w:val="a"/>
    <w:rsid w:val="00F07A01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nl-NL"/>
    </w:rPr>
  </w:style>
  <w:style w:type="character" w:styleId="af6">
    <w:name w:val="Placeholder Text"/>
    <w:basedOn w:val="a0"/>
    <w:uiPriority w:val="99"/>
    <w:semiHidden/>
    <w:rsid w:val="00F07A01"/>
    <w:rPr>
      <w:color w:val="808080"/>
    </w:rPr>
  </w:style>
  <w:style w:type="table" w:customStyle="1" w:styleId="41">
    <w:name w:val="Сітка таблиці4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ітка таблиці 4 – акцент 11"/>
    <w:basedOn w:val="a1"/>
    <w:next w:val="412"/>
    <w:uiPriority w:val="49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">
    <w:name w:val="Сітка таблиці 4 – акцент 12"/>
    <w:basedOn w:val="a1"/>
    <w:uiPriority w:val="49"/>
    <w:rsid w:val="00F07A01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121">
    <w:name w:val="Сітка таблиці 4 – акцент 121"/>
    <w:basedOn w:val="a1"/>
    <w:next w:val="412"/>
    <w:uiPriority w:val="49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">
    <w:name w:val="Сітка таблиці8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ітка таблиці7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ітка таблиці8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ітка таблиці9"/>
    <w:basedOn w:val="a1"/>
    <w:next w:val="a7"/>
    <w:uiPriority w:val="39"/>
    <w:rsid w:val="00F07A01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у2"/>
    <w:basedOn w:val="a"/>
    <w:rsid w:val="00F07A01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f7">
    <w:name w:val="Normal (Web)"/>
    <w:basedOn w:val="a"/>
    <w:uiPriority w:val="99"/>
    <w:semiHidden/>
    <w:unhideWhenUsed/>
    <w:rsid w:val="00F07A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f8">
    <w:name w:val="Balloon Text"/>
    <w:basedOn w:val="a"/>
    <w:link w:val="af9"/>
    <w:uiPriority w:val="99"/>
    <w:semiHidden/>
    <w:unhideWhenUsed/>
    <w:rsid w:val="00F0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7A01"/>
    <w:rPr>
      <w:rFonts w:ascii="Segoe UI" w:eastAsiaTheme="minorEastAsia" w:hAnsi="Segoe UI" w:cs="Segoe UI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F07A01"/>
    <w:rPr>
      <w:rFonts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F07A01"/>
    <w:pPr>
      <w:spacing w:after="0" w:line="240" w:lineRule="auto"/>
      <w:jc w:val="right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13">
    <w:name w:val="Текст кінцевої виноски Знак1"/>
    <w:basedOn w:val="a0"/>
    <w:uiPriority w:val="99"/>
    <w:semiHidden/>
    <w:rsid w:val="00F07A01"/>
    <w:rPr>
      <w:rFonts w:asciiTheme="minorHAnsi" w:eastAsiaTheme="minorEastAsia" w:hAnsiTheme="minorHAnsi" w:cstheme="minorBidi"/>
      <w:sz w:val="20"/>
      <w:szCs w:val="20"/>
    </w:rPr>
  </w:style>
  <w:style w:type="table" w:customStyle="1" w:styleId="4111">
    <w:name w:val="Сітка таблиці 4 – акцент 111"/>
    <w:basedOn w:val="a1"/>
    <w:next w:val="412"/>
    <w:uiPriority w:val="49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00">
    <w:name w:val="Сітка таблиці10"/>
    <w:basedOn w:val="a1"/>
    <w:next w:val="a7"/>
    <w:rsid w:val="00F07A01"/>
    <w:pPr>
      <w:jc w:val="left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вітла сітка – акцент 5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F07A01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52">
    <w:name w:val="Світла сітка – акцент 52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14">
    <w:name w:val="Немає списку1"/>
    <w:next w:val="a2"/>
    <w:uiPriority w:val="99"/>
    <w:semiHidden/>
    <w:unhideWhenUsed/>
    <w:rsid w:val="00F07A01"/>
  </w:style>
  <w:style w:type="table" w:customStyle="1" w:styleId="120">
    <w:name w:val="Сітка таблиці12"/>
    <w:basedOn w:val="a1"/>
    <w:next w:val="a7"/>
    <w:uiPriority w:val="39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ітка таблиці13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7A01"/>
    <w:pPr>
      <w:widowControl w:val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ітка таблиці4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ітка таблиці5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ітка таблиці 4 – акцент 112"/>
    <w:basedOn w:val="a1"/>
    <w:next w:val="412"/>
    <w:uiPriority w:val="49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2">
    <w:name w:val="Сітка таблиці 4 – акцент 122"/>
    <w:basedOn w:val="a1"/>
    <w:uiPriority w:val="49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123">
    <w:name w:val="Сітка таблиці 4 – акцент 123"/>
    <w:basedOn w:val="a1"/>
    <w:next w:val="412"/>
    <w:uiPriority w:val="49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1">
    <w:name w:val="Сітка таблиці81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ітка таблиці7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ітка таблиці11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ітка таблиці21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ітка таблиці6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ітка таблиці82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1"/>
    <w:basedOn w:val="a1"/>
    <w:next w:val="a7"/>
    <w:uiPriority w:val="39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ітка таблиці 4 – акцент 1111"/>
    <w:basedOn w:val="a1"/>
    <w:next w:val="412"/>
    <w:uiPriority w:val="49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11">
    <w:name w:val="Світла сітка – акцент 51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">
    <w:name w:val="Світла сітка – акцент 53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521">
    <w:name w:val="Світла сітка – акцент 52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1">
    <w:name w:val="Світла сітка – акцент 53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semiHidden/>
    <w:rsid w:val="00113DEF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01"/>
    <w:pPr>
      <w:spacing w:after="120" w:line="264" w:lineRule="auto"/>
      <w:jc w:val="left"/>
    </w:pPr>
    <w:rPr>
      <w:rFonts w:asciiTheme="minorHAnsi" w:eastAsiaTheme="minorEastAsia" w:hAnsiTheme="minorHAnsi" w:cstheme="minorBid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07A0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0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D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A0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0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7A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7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A01"/>
    <w:rPr>
      <w:rFonts w:asciiTheme="minorHAnsi" w:eastAsiaTheme="minorEastAsia" w:hAnsiTheme="minorHAnsi" w:cstheme="minorBidi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07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A01"/>
    <w:rPr>
      <w:rFonts w:asciiTheme="minorHAnsi" w:eastAsiaTheme="minorEastAsia" w:hAnsiTheme="minorHAnsi" w:cstheme="minorBidi"/>
      <w:sz w:val="21"/>
      <w:szCs w:val="21"/>
    </w:rPr>
  </w:style>
  <w:style w:type="table" w:styleId="a7">
    <w:name w:val="Table Grid"/>
    <w:basedOn w:val="a1"/>
    <w:uiPriority w:val="39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F07A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9">
    <w:name w:val="Название Знак"/>
    <w:basedOn w:val="a0"/>
    <w:link w:val="a8"/>
    <w:uiPriority w:val="10"/>
    <w:rsid w:val="00F07A0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a">
    <w:name w:val="TOC Heading"/>
    <w:basedOn w:val="1"/>
    <w:next w:val="a"/>
    <w:uiPriority w:val="39"/>
    <w:unhideWhenUsed/>
    <w:qFormat/>
    <w:rsid w:val="00F07A01"/>
    <w:pPr>
      <w:outlineLvl w:val="9"/>
    </w:pPr>
  </w:style>
  <w:style w:type="paragraph" w:styleId="ab">
    <w:name w:val="List Paragraph"/>
    <w:basedOn w:val="a"/>
    <w:uiPriority w:val="34"/>
    <w:qFormat/>
    <w:rsid w:val="00F07A01"/>
    <w:pPr>
      <w:ind w:left="720"/>
      <w:contextualSpacing/>
    </w:pPr>
  </w:style>
  <w:style w:type="paragraph" w:customStyle="1" w:styleId="ParagraphStyle">
    <w:name w:val="Paragraph Style"/>
    <w:rsid w:val="00F07A01"/>
    <w:pPr>
      <w:autoSpaceDE w:val="0"/>
      <w:autoSpaceDN w:val="0"/>
      <w:adjustRightInd w:val="0"/>
      <w:jc w:val="left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F07A01"/>
    <w:pPr>
      <w:tabs>
        <w:tab w:val="right" w:leader="dot" w:pos="9629"/>
      </w:tabs>
      <w:spacing w:after="0" w:line="240" w:lineRule="auto"/>
      <w:ind w:right="567"/>
      <w:jc w:val="both"/>
    </w:pPr>
    <w:rPr>
      <w:rFonts w:ascii="Garamond" w:eastAsiaTheme="majorEastAsia" w:hAnsi="Garamond" w:cstheme="majorBidi"/>
      <w:noProof/>
      <w:color w:val="000000" w:themeColor="text1"/>
      <w:sz w:val="28"/>
      <w:szCs w:val="28"/>
    </w:rPr>
  </w:style>
  <w:style w:type="character" w:styleId="ac">
    <w:name w:val="Hyperlink"/>
    <w:basedOn w:val="a0"/>
    <w:uiPriority w:val="99"/>
    <w:unhideWhenUsed/>
    <w:rsid w:val="00F07A01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F07A01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F07A01"/>
    <w:rPr>
      <w:rFonts w:eastAsia="Times New Roman" w:cs="Times New Roman"/>
      <w:szCs w:val="28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F07A01"/>
    <w:pPr>
      <w:tabs>
        <w:tab w:val="right" w:leader="dot" w:pos="9639"/>
      </w:tabs>
      <w:spacing w:after="20" w:line="240" w:lineRule="auto"/>
      <w:ind w:left="284"/>
      <w:jc w:val="both"/>
    </w:pPr>
    <w:rPr>
      <w:rFonts w:ascii="Garamond" w:hAnsi="Garamond"/>
      <w:noProof/>
      <w:color w:val="000000" w:themeColor="text1"/>
      <w:sz w:val="28"/>
      <w:szCs w:val="28"/>
    </w:rPr>
  </w:style>
  <w:style w:type="table" w:customStyle="1" w:styleId="12">
    <w:name w:val="Сітка таблиці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s">
    <w:name w:val="numbered paras"/>
    <w:basedOn w:val="a"/>
    <w:rsid w:val="00F07A01"/>
    <w:pPr>
      <w:widowControl w:val="0"/>
      <w:tabs>
        <w:tab w:val="num" w:pos="567"/>
      </w:tabs>
      <w:spacing w:before="120" w:line="240" w:lineRule="auto"/>
      <w:ind w:left="567" w:hanging="567"/>
      <w:jc w:val="both"/>
    </w:pPr>
    <w:rPr>
      <w:rFonts w:ascii="Cambria" w:eastAsia="Calibri" w:hAnsi="Cambria" w:cs="Cambria"/>
      <w:sz w:val="24"/>
      <w:szCs w:val="24"/>
      <w:lang w:val="en-GB" w:eastAsia="ru-RU"/>
    </w:rPr>
  </w:style>
  <w:style w:type="paragraph" w:styleId="af">
    <w:name w:val="footnote text"/>
    <w:basedOn w:val="a"/>
    <w:link w:val="af0"/>
    <w:uiPriority w:val="99"/>
    <w:semiHidden/>
    <w:rsid w:val="00F07A01"/>
    <w:pPr>
      <w:widowControl w:val="0"/>
      <w:spacing w:after="200" w:line="276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F07A01"/>
    <w:rPr>
      <w:rFonts w:ascii="Calibri" w:eastAsia="Times New Roman" w:hAnsi="Calibri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F07A01"/>
    <w:rPr>
      <w:vertAlign w:val="superscript"/>
    </w:rPr>
  </w:style>
  <w:style w:type="paragraph" w:customStyle="1" w:styleId="Default">
    <w:name w:val="Default"/>
    <w:rsid w:val="00F07A0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table" w:customStyle="1" w:styleId="22">
    <w:name w:val="Сітка таблиці2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F07A01"/>
    <w:rPr>
      <w:b/>
      <w:bCs/>
    </w:rPr>
  </w:style>
  <w:style w:type="table" w:customStyle="1" w:styleId="31">
    <w:name w:val="Сітка таблиці3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07A01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toc 3"/>
    <w:basedOn w:val="a"/>
    <w:next w:val="a"/>
    <w:autoRedefine/>
    <w:uiPriority w:val="39"/>
    <w:unhideWhenUsed/>
    <w:rsid w:val="00F07A01"/>
    <w:pPr>
      <w:tabs>
        <w:tab w:val="right" w:leader="dot" w:pos="8495"/>
      </w:tabs>
      <w:spacing w:after="100"/>
      <w:ind w:firstLine="142"/>
    </w:pPr>
  </w:style>
  <w:style w:type="paragraph" w:styleId="af4">
    <w:name w:val="No Spacing"/>
    <w:link w:val="af5"/>
    <w:uiPriority w:val="1"/>
    <w:qFormat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f5">
    <w:name w:val="Без интервала Знак"/>
    <w:basedOn w:val="a0"/>
    <w:link w:val="af4"/>
    <w:uiPriority w:val="1"/>
    <w:rsid w:val="00F07A01"/>
    <w:rPr>
      <w:rFonts w:asciiTheme="minorHAnsi" w:eastAsiaTheme="minorEastAsia" w:hAnsiTheme="minorHAnsi" w:cstheme="minorBidi"/>
      <w:sz w:val="21"/>
      <w:szCs w:val="21"/>
    </w:rPr>
  </w:style>
  <w:style w:type="paragraph" w:customStyle="1" w:styleId="33">
    <w:name w:val="Абзац списку3"/>
    <w:basedOn w:val="a"/>
    <w:rsid w:val="00F07A01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nl-NL"/>
    </w:rPr>
  </w:style>
  <w:style w:type="character" w:styleId="af6">
    <w:name w:val="Placeholder Text"/>
    <w:basedOn w:val="a0"/>
    <w:uiPriority w:val="99"/>
    <w:semiHidden/>
    <w:rsid w:val="00F07A01"/>
    <w:rPr>
      <w:color w:val="808080"/>
    </w:rPr>
  </w:style>
  <w:style w:type="table" w:customStyle="1" w:styleId="41">
    <w:name w:val="Сітка таблиці4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ітка таблиці 4 – акцент 11"/>
    <w:basedOn w:val="a1"/>
    <w:next w:val="412"/>
    <w:uiPriority w:val="49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">
    <w:name w:val="Сітка таблиці 4 – акцент 12"/>
    <w:basedOn w:val="a1"/>
    <w:uiPriority w:val="49"/>
    <w:rsid w:val="00F07A01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121">
    <w:name w:val="Сітка таблиці 4 – акцент 121"/>
    <w:basedOn w:val="a1"/>
    <w:next w:val="412"/>
    <w:uiPriority w:val="49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">
    <w:name w:val="Сітка таблиці8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ітка таблиці7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7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ітка таблиці8"/>
    <w:basedOn w:val="a1"/>
    <w:next w:val="a7"/>
    <w:rsid w:val="00F07A01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ітка таблиці9"/>
    <w:basedOn w:val="a1"/>
    <w:next w:val="a7"/>
    <w:uiPriority w:val="39"/>
    <w:rsid w:val="00F07A01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у2"/>
    <w:basedOn w:val="a"/>
    <w:rsid w:val="00F07A01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f7">
    <w:name w:val="Normal (Web)"/>
    <w:basedOn w:val="a"/>
    <w:uiPriority w:val="99"/>
    <w:semiHidden/>
    <w:unhideWhenUsed/>
    <w:rsid w:val="00F07A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f8">
    <w:name w:val="Balloon Text"/>
    <w:basedOn w:val="a"/>
    <w:link w:val="af9"/>
    <w:uiPriority w:val="99"/>
    <w:semiHidden/>
    <w:unhideWhenUsed/>
    <w:rsid w:val="00F0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7A01"/>
    <w:rPr>
      <w:rFonts w:ascii="Segoe UI" w:eastAsiaTheme="minorEastAsia" w:hAnsi="Segoe UI" w:cs="Segoe UI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F07A01"/>
    <w:rPr>
      <w:rFonts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F07A01"/>
    <w:pPr>
      <w:spacing w:after="0" w:line="240" w:lineRule="auto"/>
      <w:jc w:val="right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13">
    <w:name w:val="Текст кінцевої виноски Знак1"/>
    <w:basedOn w:val="a0"/>
    <w:uiPriority w:val="99"/>
    <w:semiHidden/>
    <w:rsid w:val="00F07A01"/>
    <w:rPr>
      <w:rFonts w:asciiTheme="minorHAnsi" w:eastAsiaTheme="minorEastAsia" w:hAnsiTheme="minorHAnsi" w:cstheme="minorBidi"/>
      <w:sz w:val="20"/>
      <w:szCs w:val="20"/>
    </w:rPr>
  </w:style>
  <w:style w:type="table" w:customStyle="1" w:styleId="4111">
    <w:name w:val="Сітка таблиці 4 – акцент 111"/>
    <w:basedOn w:val="a1"/>
    <w:next w:val="412"/>
    <w:uiPriority w:val="49"/>
    <w:rsid w:val="00F07A01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00">
    <w:name w:val="Сітка таблиці10"/>
    <w:basedOn w:val="a1"/>
    <w:next w:val="a7"/>
    <w:rsid w:val="00F07A01"/>
    <w:pPr>
      <w:jc w:val="left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вітла сітка – акцент 5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F07A01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52">
    <w:name w:val="Світла сітка – акцент 52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14">
    <w:name w:val="Немає списку1"/>
    <w:next w:val="a2"/>
    <w:uiPriority w:val="99"/>
    <w:semiHidden/>
    <w:unhideWhenUsed/>
    <w:rsid w:val="00F07A01"/>
  </w:style>
  <w:style w:type="table" w:customStyle="1" w:styleId="120">
    <w:name w:val="Сітка таблиці12"/>
    <w:basedOn w:val="a1"/>
    <w:next w:val="a7"/>
    <w:uiPriority w:val="39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ітка таблиці13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7A01"/>
    <w:pPr>
      <w:widowControl w:val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ітка таблиці4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ітка таблиці5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ітка таблиці 4 – акцент 112"/>
    <w:basedOn w:val="a1"/>
    <w:next w:val="412"/>
    <w:uiPriority w:val="49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2">
    <w:name w:val="Сітка таблиці 4 – акцент 122"/>
    <w:basedOn w:val="a1"/>
    <w:uiPriority w:val="49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123">
    <w:name w:val="Сітка таблиці 4 – акцент 123"/>
    <w:basedOn w:val="a1"/>
    <w:next w:val="412"/>
    <w:uiPriority w:val="49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1">
    <w:name w:val="Сітка таблиці81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ітка таблиці7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ітка таблиці11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ітка таблиці211"/>
    <w:basedOn w:val="a1"/>
    <w:next w:val="a7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ітка таблиці61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ітка таблиці82"/>
    <w:basedOn w:val="a1"/>
    <w:next w:val="a7"/>
    <w:rsid w:val="00F07A01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1"/>
    <w:basedOn w:val="a1"/>
    <w:next w:val="a7"/>
    <w:uiPriority w:val="39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ітка таблиці 4 – акцент 1111"/>
    <w:basedOn w:val="a1"/>
    <w:next w:val="412"/>
    <w:uiPriority w:val="49"/>
    <w:rsid w:val="00F07A01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11">
    <w:name w:val="Світла сітка – акцент 51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">
    <w:name w:val="Світла сітка – акцент 53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521">
    <w:name w:val="Світла сітка – акцент 52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1">
    <w:name w:val="Світла сітка – акцент 531"/>
    <w:basedOn w:val="a1"/>
    <w:next w:val="-5"/>
    <w:uiPriority w:val="62"/>
    <w:rsid w:val="00F07A01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semiHidden/>
    <w:rsid w:val="00113DEF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dp.gov.ua/dniprooda/pro-oda/departamenti-ta-upravlinnya/upravlinnya-civilnogo-zahist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m.dp.gov.ua/dniprooda/pro-oda/departamenti-ta-upravlinnya/departament-ekonomichnogo-rozvit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dp.gov.ua/dniprooda/pro-oda/departamenti-ta-upravlinnya/departament-osviti-i-nau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4727</Words>
  <Characters>26945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31609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Байдашнікова Тетяна Олександрівна</dc:creator>
  <cp:lastModifiedBy>Кононенко Ольга Анатоліївна</cp:lastModifiedBy>
  <cp:revision>2</cp:revision>
  <dcterms:created xsi:type="dcterms:W3CDTF">2025-12-24T12:55:00Z</dcterms:created>
  <dcterms:modified xsi:type="dcterms:W3CDTF">2025-12-24T12:55:00Z</dcterms:modified>
</cp:coreProperties>
</file>